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6D630BB8" w:rsidR="00A03C8F" w:rsidRDefault="00B50112" w:rsidP="001E657C">
      <w:pPr>
        <w:pStyle w:val="Title"/>
      </w:pPr>
      <w:r>
        <w:t>sociology of sexualities</w:t>
      </w:r>
    </w:p>
    <w:p w14:paraId="1C8FC560" w14:textId="5222C8A6" w:rsidR="00A03C8F" w:rsidRDefault="00811DB5" w:rsidP="00BF3D2E">
      <w:pPr>
        <w:pStyle w:val="Subtitle"/>
        <w:tabs>
          <w:tab w:val="left" w:pos="2100"/>
          <w:tab w:val="center" w:pos="4680"/>
        </w:tabs>
      </w:pPr>
      <w:r>
        <w:t>Winter</w:t>
      </w:r>
      <w:r w:rsidR="00B50112">
        <w:t xml:space="preserve"> 202</w:t>
      </w:r>
      <w:r w:rsidR="00E47027">
        <w:t>3</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4D8B4F0A" w14:textId="77777777" w:rsidR="00811DB5" w:rsidRDefault="00811DB5" w:rsidP="00811DB5">
      <w:pPr>
        <w:spacing w:after="0" w:line="240" w:lineRule="auto"/>
      </w:pPr>
      <w:r w:rsidRPr="009F7FC2">
        <w:rPr>
          <w:b/>
        </w:rPr>
        <w:t>Instructor:</w:t>
      </w:r>
      <w:r>
        <w:t xml:space="preserve"> Tina Fetner</w:t>
      </w:r>
    </w:p>
    <w:p w14:paraId="071095E4" w14:textId="2252F770" w:rsidR="00EB5B03" w:rsidRDefault="00811DB5" w:rsidP="00DC189A">
      <w:pPr>
        <w:spacing w:after="0" w:line="240" w:lineRule="auto"/>
      </w:pPr>
      <w:r w:rsidRPr="009F7FC2">
        <w:rPr>
          <w:b/>
        </w:rPr>
        <w:t xml:space="preserve">Email: </w:t>
      </w:r>
      <w:hyperlink r:id="rId10" w:history="1">
        <w:r w:rsidR="00DC189A" w:rsidRPr="00782C58">
          <w:rPr>
            <w:rStyle w:val="Hyperlink"/>
          </w:rPr>
          <w:t>tina.fetner@mcmaster.ca</w:t>
        </w:r>
      </w:hyperlink>
    </w:p>
    <w:p w14:paraId="6C015B86" w14:textId="09F4238A" w:rsidR="00DC189A" w:rsidRDefault="00E47027" w:rsidP="001E657C">
      <w:pPr>
        <w:spacing w:line="240" w:lineRule="auto"/>
        <w:rPr>
          <w:bCs/>
        </w:rPr>
      </w:pPr>
      <w:r>
        <w:rPr>
          <w:b/>
        </w:rPr>
        <w:t>Lecture</w:t>
      </w:r>
      <w:r w:rsidR="00811DB5" w:rsidRPr="001E657C">
        <w:rPr>
          <w:b/>
        </w:rPr>
        <w:t>:</w:t>
      </w:r>
      <w:r w:rsidR="00811DB5">
        <w:t xml:space="preserve"> Mondays </w:t>
      </w:r>
      <w:r>
        <w:t>10</w:t>
      </w:r>
      <w:r w:rsidR="00811DB5">
        <w:t>:30</w:t>
      </w:r>
      <w:r>
        <w:t>am</w:t>
      </w:r>
      <w:r w:rsidR="00811DB5">
        <w:t>-</w:t>
      </w:r>
      <w:r>
        <w:t>12</w:t>
      </w:r>
      <w:r w:rsidR="00811DB5">
        <w:t xml:space="preserve">:20pm </w:t>
      </w:r>
      <w:r w:rsidR="00811DB5">
        <w:tab/>
      </w:r>
      <w:r w:rsidR="00811DB5">
        <w:br/>
      </w:r>
      <w:r w:rsidR="007A78EB" w:rsidRPr="009F7FC2">
        <w:rPr>
          <w:b/>
        </w:rPr>
        <w:t>Office Hours:</w:t>
      </w:r>
      <w:r w:rsidR="007A78EB" w:rsidRPr="00B50112">
        <w:rPr>
          <w:bCs/>
        </w:rPr>
        <w:t xml:space="preserve"> Mondays </w:t>
      </w:r>
      <w:r w:rsidR="007A78EB">
        <w:t>2:00-3:00pm</w:t>
      </w:r>
      <w:r w:rsidR="00EB5B03">
        <w:br/>
      </w:r>
    </w:p>
    <w:p w14:paraId="55CC2898" w14:textId="77777777" w:rsidR="00EB5B03" w:rsidRPr="00EB5B03" w:rsidRDefault="00EB5B03" w:rsidP="001E657C">
      <w:pPr>
        <w:spacing w:line="240" w:lineRule="auto"/>
      </w:pPr>
    </w:p>
    <w:p w14:paraId="32D89DA7" w14:textId="76041B01" w:rsidR="00EF57AF" w:rsidRPr="001E657C" w:rsidRDefault="00811DB5" w:rsidP="001E657C">
      <w:pPr>
        <w:spacing w:line="240" w:lineRule="auto"/>
      </w:pPr>
      <w:r>
        <w:rPr>
          <w:b/>
          <w:bCs/>
        </w:rPr>
        <w:t>TA:</w:t>
      </w:r>
      <w:r>
        <w:t xml:space="preserve"> </w:t>
      </w:r>
      <w:r w:rsidR="00E47027">
        <w:t>Yena Lee</w:t>
      </w:r>
      <w:r>
        <w:br/>
      </w:r>
      <w:r>
        <w:rPr>
          <w:b/>
          <w:bCs/>
        </w:rPr>
        <w:t>TA email:</w:t>
      </w:r>
      <w:r>
        <w:t xml:space="preserve"> </w:t>
      </w:r>
      <w:hyperlink r:id="rId11" w:history="1">
        <w:r w:rsidRPr="00782C58">
          <w:rPr>
            <w:rStyle w:val="Hyperlink"/>
          </w:rPr>
          <w:t>soc3U03@mcmaster.ca</w:t>
        </w:r>
      </w:hyperlink>
      <w:r w:rsidR="007A78EB">
        <w:br/>
      </w:r>
      <w:r w:rsidR="007A78EB">
        <w:rPr>
          <w:b/>
          <w:bCs/>
        </w:rPr>
        <w:t xml:space="preserve">TA online: </w:t>
      </w:r>
      <w:r w:rsidR="007A78EB">
        <w:t>Wednesdays 10:30-11:20am</w:t>
      </w:r>
    </w:p>
    <w:p w14:paraId="57FEE43A" w14:textId="15D60135" w:rsidR="00663640" w:rsidRPr="00663640" w:rsidRDefault="00663640" w:rsidP="00663640">
      <w:pPr>
        <w:spacing w:line="240" w:lineRule="auto"/>
      </w:pP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3095DFB1" w14:textId="156D18BA" w:rsidR="00CE45E0" w:rsidRPr="00CE45E0" w:rsidRDefault="00CE45E0" w:rsidP="00CE45E0">
      <w:r w:rsidRPr="00CE45E0">
        <w:t xml:space="preserve">Sexuality may seem to be a personal, private, intimate topic reserved for diaries and best friends. However, in this course, we will see that sexuality is really a social phenomenon, encompassing a broad range of emotions, actions, </w:t>
      </w:r>
      <w:proofErr w:type="gramStart"/>
      <w:r w:rsidRPr="00CE45E0">
        <w:t>identities</w:t>
      </w:r>
      <w:proofErr w:type="gramEnd"/>
      <w:r w:rsidRPr="00CE45E0">
        <w:t xml:space="preserve"> and communities. We use sexualities to define ourselves and the world we live in, to draw boundaries between types of people, and to mark borders between wrong and right. In this course, we will explore the social aspects of sexuality and consider how sexual experiences are shaped by, and interpreted through, historically specific social contexts.</w:t>
      </w:r>
    </w:p>
    <w:p w14:paraId="1636BEB4" w14:textId="66DE4FA2" w:rsidR="009F7FC2" w:rsidRPr="009F7FC2" w:rsidRDefault="00CE45E0" w:rsidP="00B74D6C">
      <w:r w:rsidRPr="00CE45E0">
        <w:t xml:space="preserve">Using the tools of sociology, we will analyze gender and sexual behaviors, </w:t>
      </w:r>
      <w:proofErr w:type="gramStart"/>
      <w:r w:rsidRPr="00CE45E0">
        <w:t>identities</w:t>
      </w:r>
      <w:proofErr w:type="gramEnd"/>
      <w:r w:rsidRPr="00CE45E0">
        <w:t xml:space="preserve"> and communities. We will examine the social organization of sexuality and how sexuality contributes to social organization. We will consider various types of social control over sexual behavior, as well as responses to that control. We will </w:t>
      </w:r>
      <w:proofErr w:type="gramStart"/>
      <w:r w:rsidRPr="00CE45E0">
        <w:t>enter into</w:t>
      </w:r>
      <w:proofErr w:type="gramEnd"/>
      <w:r w:rsidRPr="00CE45E0">
        <w:t xml:space="preserve"> the hidden worlds of sexual expression and exchange, and </w:t>
      </w:r>
      <w:r>
        <w:t xml:space="preserve">we will </w:t>
      </w:r>
      <w:r w:rsidRPr="00CE45E0">
        <w:t>keep our eyes as much on the taboos themselves as on the actions they censure.</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757FDD3B" w14:textId="77777777" w:rsidR="00CE45E0" w:rsidRPr="00CE45E0" w:rsidRDefault="00CE45E0" w:rsidP="00CE45E0">
      <w:pPr>
        <w:pStyle w:val="ListParagraph"/>
        <w:numPr>
          <w:ilvl w:val="0"/>
          <w:numId w:val="4"/>
        </w:numPr>
      </w:pPr>
      <w:r w:rsidRPr="00CE45E0">
        <w:t>discuss and evaluate sociological theories relating to sex and sexuality</w:t>
      </w:r>
    </w:p>
    <w:p w14:paraId="4557274E" w14:textId="77777777" w:rsidR="00CE45E0" w:rsidRPr="00CE45E0" w:rsidRDefault="00CE45E0" w:rsidP="00CE45E0">
      <w:pPr>
        <w:pStyle w:val="ListParagraph"/>
        <w:numPr>
          <w:ilvl w:val="0"/>
          <w:numId w:val="4"/>
        </w:numPr>
      </w:pPr>
      <w:r w:rsidRPr="00CE45E0">
        <w:t>understand empirical approaches to examining sexuality, including behaviour, identity, desire, and community</w:t>
      </w:r>
    </w:p>
    <w:p w14:paraId="3B8BB361" w14:textId="77777777" w:rsidR="00CE45E0" w:rsidRPr="00CE45E0" w:rsidRDefault="00CE45E0" w:rsidP="00CE45E0">
      <w:pPr>
        <w:pStyle w:val="ListParagraph"/>
        <w:numPr>
          <w:ilvl w:val="0"/>
          <w:numId w:val="4"/>
        </w:numPr>
      </w:pPr>
      <w:r w:rsidRPr="00CE45E0">
        <w:t>communicate concepts related to the sociology of sexualities clearly and effectively</w:t>
      </w:r>
    </w:p>
    <w:p w14:paraId="796D541F" w14:textId="77777777" w:rsidR="00CE45E0" w:rsidRPr="00CE45E0" w:rsidRDefault="00CE45E0" w:rsidP="00CE45E0">
      <w:pPr>
        <w:pStyle w:val="ListParagraph"/>
        <w:numPr>
          <w:ilvl w:val="0"/>
          <w:numId w:val="4"/>
        </w:numPr>
      </w:pPr>
      <w:r w:rsidRPr="00CE45E0">
        <w:t>evaluate evidence and logic for claims relating to the sociology of sexualities</w:t>
      </w:r>
    </w:p>
    <w:p w14:paraId="77F3498E" w14:textId="45647687" w:rsidR="009F7FC2" w:rsidRPr="009F7FC2" w:rsidRDefault="00CE45E0" w:rsidP="00CE45E0">
      <w:pPr>
        <w:pStyle w:val="ListParagraph"/>
        <w:numPr>
          <w:ilvl w:val="0"/>
          <w:numId w:val="4"/>
        </w:numPr>
      </w:pPr>
      <w:r w:rsidRPr="00CE45E0">
        <w:t>understand complex relationships of sexuality and inequality</w:t>
      </w:r>
    </w:p>
    <w:p w14:paraId="4B59BBDB" w14:textId="77777777" w:rsidR="00A03C8F" w:rsidRDefault="00A03C8F" w:rsidP="009F7FC2">
      <w:pPr>
        <w:pStyle w:val="Heading1"/>
      </w:pPr>
      <w:bookmarkStart w:id="2" w:name="_Toc14941513"/>
      <w:r>
        <w:t>Required Materials and Texts</w:t>
      </w:r>
      <w:bookmarkEnd w:id="2"/>
    </w:p>
    <w:p w14:paraId="2B4A6A87" w14:textId="0F5B5252" w:rsidR="00CE45E0" w:rsidRPr="00CE45E0" w:rsidRDefault="00CE45E0" w:rsidP="00CE45E0">
      <w:pPr>
        <w:pStyle w:val="ListParagraph"/>
        <w:numPr>
          <w:ilvl w:val="0"/>
          <w:numId w:val="4"/>
        </w:numPr>
      </w:pPr>
      <w:r w:rsidRPr="00CE45E0">
        <w:t>Kathleen J. Fitzgerald and Kandice Grossman. 20</w:t>
      </w:r>
      <w:r w:rsidR="004571C7">
        <w:t>21</w:t>
      </w:r>
      <w:r w:rsidRPr="00CE45E0">
        <w:t xml:space="preserve">. </w:t>
      </w:r>
      <w:r w:rsidRPr="00CE45E0">
        <w:rPr>
          <w:i/>
        </w:rPr>
        <w:t>Sociology of Sexualities, 2nd edition</w:t>
      </w:r>
      <w:r w:rsidRPr="00CE45E0">
        <w:t xml:space="preserve">. Sage Publishing. </w:t>
      </w:r>
    </w:p>
    <w:p w14:paraId="600B8E1A" w14:textId="3EF3D3AC" w:rsidR="00CE45E0" w:rsidRPr="00F471EF" w:rsidRDefault="00F471EF" w:rsidP="00F471EF">
      <w:pPr>
        <w:pStyle w:val="ListParagraph"/>
      </w:pPr>
      <w:r>
        <w:lastRenderedPageBreak/>
        <w:t>While you can purchase this textbook at the McMaster Campus Store, please be aware that a</w:t>
      </w:r>
      <w:r w:rsidR="00CE45E0" w:rsidRPr="00CE45E0">
        <w:t xml:space="preserve">n electronic version of this book is available for a 180-day rental for USD $50 on the publisher’s website: </w:t>
      </w:r>
      <w:hyperlink r:id="rId12" w:history="1">
        <w:r w:rsidR="00CE45E0" w:rsidRPr="00CE45E0">
          <w:rPr>
            <w:rStyle w:val="Hyperlink"/>
          </w:rPr>
          <w:t>https://us.sagepub.com/en-us/nam/sociology-of-sexualities/book267539</w:t>
        </w:r>
      </w:hyperlink>
      <w:r w:rsidR="00CE45E0" w:rsidRPr="00CE45E0">
        <w:t xml:space="preserve">. </w:t>
      </w:r>
      <w:r>
        <w:br/>
      </w:r>
      <w:r w:rsidR="00CE45E0" w:rsidRPr="00CE45E0">
        <w:rPr>
          <w:i/>
          <w:iCs/>
        </w:rPr>
        <w:t xml:space="preserve">Other options may also be available. Note that this course uses the </w:t>
      </w:r>
      <w:r w:rsidR="00CE45E0" w:rsidRPr="003C04E4">
        <w:rPr>
          <w:b/>
          <w:bCs/>
          <w:i/>
          <w:iCs/>
        </w:rPr>
        <w:t>2</w:t>
      </w:r>
      <w:r w:rsidR="00CE45E0" w:rsidRPr="003C04E4">
        <w:rPr>
          <w:b/>
          <w:bCs/>
          <w:i/>
          <w:iCs/>
          <w:vertAlign w:val="superscript"/>
        </w:rPr>
        <w:t>nd</w:t>
      </w:r>
      <w:r w:rsidR="00CE45E0" w:rsidRPr="003C04E4">
        <w:rPr>
          <w:b/>
          <w:bCs/>
          <w:i/>
          <w:iCs/>
        </w:rPr>
        <w:t xml:space="preserve"> edition.</w:t>
      </w:r>
      <w:r w:rsidR="00CE45E0" w:rsidRPr="00CE45E0">
        <w:rPr>
          <w:i/>
          <w:iCs/>
        </w:rPr>
        <w:t xml:space="preserve"> </w:t>
      </w:r>
    </w:p>
    <w:p w14:paraId="4C88905B" w14:textId="426541FE" w:rsidR="009F7FC2" w:rsidRPr="009F7FC2" w:rsidRDefault="00CE45E0" w:rsidP="00CE45E0">
      <w:pPr>
        <w:pStyle w:val="ListParagraph"/>
        <w:numPr>
          <w:ilvl w:val="0"/>
          <w:numId w:val="4"/>
        </w:numPr>
      </w:pPr>
      <w:r w:rsidRPr="00CE45E0">
        <w:t>Additional readings will be posted on Avenue to Learn.</w:t>
      </w:r>
    </w:p>
    <w:p w14:paraId="2E16DE0F" w14:textId="77777777" w:rsidR="00A03C8F" w:rsidRDefault="00DD55CC" w:rsidP="009F7FC2">
      <w:pPr>
        <w:pStyle w:val="Heading1"/>
      </w:pPr>
      <w:bookmarkStart w:id="3" w:name="_Toc14941514"/>
      <w:r>
        <w:t>Class Format</w:t>
      </w:r>
      <w:bookmarkEnd w:id="3"/>
    </w:p>
    <w:p w14:paraId="08749FE9" w14:textId="5474E00C" w:rsidR="00E47027" w:rsidRDefault="007670A3" w:rsidP="0083445C">
      <w:pPr>
        <w:rPr>
          <w:lang w:val="en-CA"/>
        </w:rPr>
      </w:pPr>
      <w:r>
        <w:rPr>
          <w:lang w:val="en-CA"/>
        </w:rPr>
        <w:t xml:space="preserve">This online course is </w:t>
      </w:r>
      <w:r>
        <w:rPr>
          <w:i/>
          <w:iCs/>
          <w:lang w:val="en-CA"/>
        </w:rPr>
        <w:t xml:space="preserve">mostly </w:t>
      </w:r>
      <w:r w:rsidR="00B14782">
        <w:rPr>
          <w:lang w:val="en-CA"/>
        </w:rPr>
        <w:t>delivered</w:t>
      </w:r>
      <w:r>
        <w:rPr>
          <w:lang w:val="en-CA"/>
        </w:rPr>
        <w:t xml:space="preserve"> asynchronously, but it operates on a schedule </w:t>
      </w:r>
      <w:proofErr w:type="gramStart"/>
      <w:r>
        <w:rPr>
          <w:lang w:val="en-CA"/>
        </w:rPr>
        <w:t>similar to</w:t>
      </w:r>
      <w:proofErr w:type="gramEnd"/>
      <w:r>
        <w:rPr>
          <w:lang w:val="en-CA"/>
        </w:rPr>
        <w:t xml:space="preserve"> an in-person class. </w:t>
      </w:r>
      <w:r w:rsidR="00E47027">
        <w:rPr>
          <w:lang w:val="en-CA"/>
        </w:rPr>
        <w:t xml:space="preserve">I recommend you stick to our class schedule: Mondays 10:30-12:20pm and Wednesdays 10:30-11:30am. </w:t>
      </w:r>
      <w:r w:rsidR="00D87B79">
        <w:rPr>
          <w:lang w:val="en-CA"/>
        </w:rPr>
        <w:t xml:space="preserve">I will be available online during the Monday session, and your teaching assistant will be available during the Wednesday session. </w:t>
      </w:r>
    </w:p>
    <w:p w14:paraId="3E51A79D" w14:textId="7F567D11" w:rsidR="009F7FC2" w:rsidRPr="00EA70E4" w:rsidRDefault="0037437B" w:rsidP="00D87B79">
      <w:pPr>
        <w:rPr>
          <w:lang w:val="en-CA"/>
        </w:rPr>
      </w:pPr>
      <w:r>
        <w:rPr>
          <w:lang w:val="en-CA"/>
        </w:rPr>
        <w:t>Lectures</w:t>
      </w:r>
      <w:r w:rsidR="0083445C">
        <w:rPr>
          <w:lang w:val="en-CA"/>
        </w:rPr>
        <w:t xml:space="preserve"> will</w:t>
      </w:r>
      <w:r>
        <w:rPr>
          <w:lang w:val="en-CA"/>
        </w:rPr>
        <w:t xml:space="preserve"> be posted on Mondays each week</w:t>
      </w:r>
      <w:r w:rsidR="00D87B79">
        <w:rPr>
          <w:lang w:val="en-CA"/>
        </w:rPr>
        <w:t xml:space="preserve"> on Avenue to Learn. </w:t>
      </w:r>
      <w:r w:rsidR="00EA70E4" w:rsidRPr="00EA70E4">
        <w:rPr>
          <w:lang w:val="en-CA"/>
        </w:rPr>
        <w:t xml:space="preserve">Your professor and teaching assistant will also be available by email at </w:t>
      </w:r>
      <w:hyperlink r:id="rId13" w:history="1">
        <w:r w:rsidR="00EA70E4" w:rsidRPr="00EA70E4">
          <w:rPr>
            <w:rStyle w:val="Hyperlink"/>
            <w:lang w:val="en-CA"/>
          </w:rPr>
          <w:t>soc3U03@mcmaster.ca</w:t>
        </w:r>
      </w:hyperlink>
      <w:r w:rsidR="00EA70E4" w:rsidRPr="00EA70E4">
        <w:rPr>
          <w:lang w:val="en-CA"/>
        </w:rPr>
        <w:t>. We are very happy to talk about the course material, answer questions, or discuss something related to the course that interests you.</w:t>
      </w:r>
    </w:p>
    <w:p w14:paraId="67A62F83" w14:textId="77777777" w:rsidR="00137ABB" w:rsidRDefault="00137ABB" w:rsidP="00137ABB">
      <w:pPr>
        <w:pStyle w:val="Heading1"/>
      </w:pPr>
      <w:bookmarkStart w:id="4" w:name="_Toc14941515"/>
      <w:bookmarkStart w:id="5" w:name="_Toc14941519"/>
      <w:r>
        <w:t>Course Evaluation – Overview</w:t>
      </w:r>
      <w:bookmarkEnd w:id="4"/>
    </w:p>
    <w:p w14:paraId="432F80DB" w14:textId="1A1E595D" w:rsidR="002B54F9" w:rsidRPr="003E69EF" w:rsidRDefault="00D87B79" w:rsidP="002400D3">
      <w:pPr>
        <w:pStyle w:val="ListParagraph"/>
        <w:numPr>
          <w:ilvl w:val="0"/>
          <w:numId w:val="3"/>
        </w:numPr>
      </w:pPr>
      <w:r>
        <w:t>Take-home m</w:t>
      </w:r>
      <w:r w:rsidR="002B54F9">
        <w:t>idterm</w:t>
      </w:r>
      <w:r w:rsidR="002B54F9" w:rsidRPr="003E69EF">
        <w:t>:</w:t>
      </w:r>
      <w:r w:rsidR="002B54F9">
        <w:tab/>
      </w:r>
      <w:r w:rsidR="002B54F9">
        <w:tab/>
      </w:r>
      <w:r w:rsidR="002B54F9">
        <w:tab/>
      </w:r>
      <w:r w:rsidR="00B13FE8">
        <w:t>30</w:t>
      </w:r>
      <w:r w:rsidR="002B54F9" w:rsidRPr="003E69EF">
        <w:t>%</w:t>
      </w:r>
    </w:p>
    <w:p w14:paraId="272EE538" w14:textId="37BE5CAD" w:rsidR="00137ABB" w:rsidRPr="003E69EF" w:rsidRDefault="00D87B79" w:rsidP="00137ABB">
      <w:pPr>
        <w:pStyle w:val="ListParagraph"/>
        <w:numPr>
          <w:ilvl w:val="0"/>
          <w:numId w:val="3"/>
        </w:numPr>
      </w:pPr>
      <w:r>
        <w:t xml:space="preserve">Timed </w:t>
      </w:r>
      <w:r w:rsidR="00B13FE8">
        <w:t xml:space="preserve">online </w:t>
      </w:r>
      <w:r>
        <w:t>exam</w:t>
      </w:r>
      <w:r w:rsidR="00137ABB" w:rsidRPr="003E69EF">
        <w:t>:</w:t>
      </w:r>
      <w:r w:rsidR="002B54F9">
        <w:tab/>
      </w:r>
      <w:r>
        <w:tab/>
      </w:r>
      <w:r w:rsidR="002B54F9">
        <w:tab/>
      </w:r>
      <w:r w:rsidR="00882211">
        <w:tab/>
      </w:r>
      <w:r w:rsidR="002B54F9">
        <w:t>3</w:t>
      </w:r>
      <w:r w:rsidR="00B13FE8">
        <w:t>5</w:t>
      </w:r>
      <w:r w:rsidR="00137ABB" w:rsidRPr="003E69EF">
        <w:t>%</w:t>
      </w:r>
    </w:p>
    <w:p w14:paraId="4D1C57CE" w14:textId="4EACE75C" w:rsidR="00137ABB" w:rsidRPr="009F7FC2" w:rsidRDefault="00B13FE8" w:rsidP="00137ABB">
      <w:pPr>
        <w:pStyle w:val="ListParagraph"/>
        <w:numPr>
          <w:ilvl w:val="0"/>
          <w:numId w:val="3"/>
        </w:numPr>
      </w:pPr>
      <w:r>
        <w:t>Book review</w:t>
      </w:r>
      <w:r w:rsidR="00137ABB" w:rsidRPr="003E69EF">
        <w:t>:</w:t>
      </w:r>
      <w:r w:rsidR="00137ABB" w:rsidRPr="003E69EF">
        <w:tab/>
      </w:r>
      <w:r>
        <w:tab/>
      </w:r>
      <w:r>
        <w:tab/>
      </w:r>
      <w:r w:rsidR="002B54F9">
        <w:tab/>
      </w:r>
      <w:r w:rsidR="00137ABB">
        <w:tab/>
      </w:r>
      <w:r w:rsidR="00137ABB" w:rsidRPr="003E69EF">
        <w:t>3</w:t>
      </w:r>
      <w:r w:rsidR="002B54F9">
        <w:t>5</w:t>
      </w:r>
      <w:r w:rsidR="00137ABB" w:rsidRPr="003E69EF">
        <w:t>%</w:t>
      </w:r>
    </w:p>
    <w:p w14:paraId="00352A0E" w14:textId="26FE725E" w:rsidR="009F7FC2" w:rsidRDefault="009F7FC2" w:rsidP="009F7FC2">
      <w:pPr>
        <w:pStyle w:val="Heading1"/>
      </w:pPr>
      <w:r>
        <w:t>Weekly Course Schedule and Required Readings</w:t>
      </w:r>
      <w:bookmarkEnd w:id="5"/>
    </w:p>
    <w:p w14:paraId="30B6153D" w14:textId="2D146F53" w:rsidR="002B5CD9" w:rsidRPr="00115EF9" w:rsidRDefault="002B5CD9" w:rsidP="00115EF9"/>
    <w:tbl>
      <w:tblPr>
        <w:tblW w:w="9200" w:type="dxa"/>
        <w:tblLook w:val="04A0" w:firstRow="1" w:lastRow="0" w:firstColumn="1" w:lastColumn="0" w:noHBand="0" w:noVBand="1"/>
      </w:tblPr>
      <w:tblGrid>
        <w:gridCol w:w="1300"/>
        <w:gridCol w:w="7900"/>
      </w:tblGrid>
      <w:tr w:rsidR="00851EE1" w:rsidRPr="00851EE1" w14:paraId="1A58E3AF" w14:textId="77777777" w:rsidTr="00851EE1">
        <w:trPr>
          <w:trHeight w:val="280"/>
        </w:trPr>
        <w:tc>
          <w:tcPr>
            <w:tcW w:w="1300" w:type="dxa"/>
            <w:tcBorders>
              <w:top w:val="nil"/>
              <w:left w:val="nil"/>
              <w:bottom w:val="nil"/>
              <w:right w:val="nil"/>
            </w:tcBorders>
            <w:shd w:val="clear" w:color="auto" w:fill="auto"/>
            <w:noWrap/>
            <w:hideMark/>
          </w:tcPr>
          <w:p w14:paraId="34FD694D"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bookmarkStart w:id="6" w:name="_Toc14941520"/>
            <w:r w:rsidRPr="00851EE1">
              <w:rPr>
                <w:rFonts w:ascii="Century Gothic" w:eastAsia="Times New Roman" w:hAnsi="Century Gothic" w:cs="Calibri"/>
                <w:b/>
                <w:bCs/>
                <w:color w:val="000000"/>
                <w:sz w:val="20"/>
                <w:szCs w:val="20"/>
              </w:rPr>
              <w:t>Week 1</w:t>
            </w:r>
          </w:p>
        </w:tc>
        <w:tc>
          <w:tcPr>
            <w:tcW w:w="7900" w:type="dxa"/>
            <w:tcBorders>
              <w:top w:val="nil"/>
              <w:left w:val="nil"/>
              <w:bottom w:val="nil"/>
              <w:right w:val="nil"/>
            </w:tcBorders>
            <w:shd w:val="clear" w:color="auto" w:fill="auto"/>
            <w:hideMark/>
          </w:tcPr>
          <w:p w14:paraId="78BD89B5"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Introductions</w:t>
            </w:r>
          </w:p>
        </w:tc>
      </w:tr>
      <w:tr w:rsidR="00851EE1" w:rsidRPr="00851EE1" w14:paraId="23339CB9" w14:textId="77777777" w:rsidTr="00851EE1">
        <w:trPr>
          <w:trHeight w:val="280"/>
        </w:trPr>
        <w:tc>
          <w:tcPr>
            <w:tcW w:w="1300" w:type="dxa"/>
            <w:tcBorders>
              <w:top w:val="nil"/>
              <w:left w:val="nil"/>
              <w:bottom w:val="nil"/>
              <w:right w:val="nil"/>
            </w:tcBorders>
            <w:shd w:val="clear" w:color="auto" w:fill="auto"/>
            <w:noWrap/>
            <w:hideMark/>
          </w:tcPr>
          <w:p w14:paraId="5F237F06"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9-Jan</w:t>
            </w:r>
          </w:p>
        </w:tc>
        <w:tc>
          <w:tcPr>
            <w:tcW w:w="7900" w:type="dxa"/>
            <w:tcBorders>
              <w:top w:val="nil"/>
              <w:left w:val="nil"/>
              <w:bottom w:val="nil"/>
              <w:right w:val="nil"/>
            </w:tcBorders>
            <w:shd w:val="clear" w:color="auto" w:fill="auto"/>
            <w:hideMark/>
          </w:tcPr>
          <w:p w14:paraId="6FCCE9D6"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No readings assigned.</w:t>
            </w:r>
          </w:p>
        </w:tc>
      </w:tr>
      <w:tr w:rsidR="00851EE1" w:rsidRPr="00851EE1" w14:paraId="7A83A13F" w14:textId="77777777" w:rsidTr="00851EE1">
        <w:trPr>
          <w:trHeight w:val="560"/>
        </w:trPr>
        <w:tc>
          <w:tcPr>
            <w:tcW w:w="1300" w:type="dxa"/>
            <w:tcBorders>
              <w:top w:val="nil"/>
              <w:left w:val="nil"/>
              <w:bottom w:val="nil"/>
              <w:right w:val="nil"/>
            </w:tcBorders>
            <w:shd w:val="clear" w:color="auto" w:fill="auto"/>
            <w:noWrap/>
            <w:hideMark/>
          </w:tcPr>
          <w:p w14:paraId="0E1020EE"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1BCBF506"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xml:space="preserve"> What is social about sexuality?  Plus, introductions and information about this course. </w:t>
            </w:r>
          </w:p>
        </w:tc>
      </w:tr>
      <w:tr w:rsidR="00851EE1" w:rsidRPr="00851EE1" w14:paraId="064BD278" w14:textId="77777777" w:rsidTr="00851EE1">
        <w:trPr>
          <w:trHeight w:val="260"/>
        </w:trPr>
        <w:tc>
          <w:tcPr>
            <w:tcW w:w="1300" w:type="dxa"/>
            <w:tcBorders>
              <w:top w:val="nil"/>
              <w:left w:val="nil"/>
              <w:bottom w:val="nil"/>
              <w:right w:val="nil"/>
            </w:tcBorders>
            <w:shd w:val="clear" w:color="auto" w:fill="auto"/>
            <w:noWrap/>
            <w:hideMark/>
          </w:tcPr>
          <w:p w14:paraId="26CDE553"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43E3694F"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26015EFC" w14:textId="77777777" w:rsidTr="00851EE1">
        <w:trPr>
          <w:trHeight w:val="280"/>
        </w:trPr>
        <w:tc>
          <w:tcPr>
            <w:tcW w:w="1300" w:type="dxa"/>
            <w:tcBorders>
              <w:top w:val="nil"/>
              <w:left w:val="nil"/>
              <w:bottom w:val="nil"/>
              <w:right w:val="nil"/>
            </w:tcBorders>
            <w:shd w:val="clear" w:color="auto" w:fill="auto"/>
            <w:noWrap/>
            <w:hideMark/>
          </w:tcPr>
          <w:p w14:paraId="25D6061C"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2</w:t>
            </w:r>
          </w:p>
        </w:tc>
        <w:tc>
          <w:tcPr>
            <w:tcW w:w="7900" w:type="dxa"/>
            <w:tcBorders>
              <w:top w:val="nil"/>
              <w:left w:val="nil"/>
              <w:bottom w:val="nil"/>
              <w:right w:val="nil"/>
            </w:tcBorders>
            <w:shd w:val="clear" w:color="auto" w:fill="auto"/>
            <w:hideMark/>
          </w:tcPr>
          <w:p w14:paraId="1EB522B6"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The social structure of sexuality</w:t>
            </w:r>
          </w:p>
        </w:tc>
      </w:tr>
      <w:tr w:rsidR="00851EE1" w:rsidRPr="00851EE1" w14:paraId="191A3C64" w14:textId="77777777" w:rsidTr="00851EE1">
        <w:trPr>
          <w:trHeight w:val="660"/>
        </w:trPr>
        <w:tc>
          <w:tcPr>
            <w:tcW w:w="1300" w:type="dxa"/>
            <w:tcBorders>
              <w:top w:val="nil"/>
              <w:left w:val="nil"/>
              <w:bottom w:val="nil"/>
              <w:right w:val="nil"/>
            </w:tcBorders>
            <w:shd w:val="clear" w:color="auto" w:fill="auto"/>
            <w:noWrap/>
            <w:hideMark/>
          </w:tcPr>
          <w:p w14:paraId="1DA5AC3C"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16-Jan</w:t>
            </w:r>
          </w:p>
        </w:tc>
        <w:tc>
          <w:tcPr>
            <w:tcW w:w="7900" w:type="dxa"/>
            <w:tcBorders>
              <w:top w:val="nil"/>
              <w:left w:val="nil"/>
              <w:bottom w:val="nil"/>
              <w:right w:val="nil"/>
            </w:tcBorders>
            <w:shd w:val="clear" w:color="auto" w:fill="auto"/>
            <w:hideMark/>
          </w:tcPr>
          <w:p w14:paraId="77CD4698"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 xml:space="preserve">Karin Martin and Emily </w:t>
            </w:r>
            <w:proofErr w:type="spellStart"/>
            <w:r w:rsidRPr="00851EE1">
              <w:rPr>
                <w:rFonts w:ascii="Century Gothic" w:eastAsia="Times New Roman" w:hAnsi="Century Gothic" w:cs="Calibri"/>
                <w:color w:val="000000"/>
                <w:sz w:val="20"/>
                <w:szCs w:val="20"/>
              </w:rPr>
              <w:t>Kazyak</w:t>
            </w:r>
            <w:proofErr w:type="spellEnd"/>
            <w:r w:rsidRPr="00851EE1">
              <w:rPr>
                <w:rFonts w:ascii="Century Gothic" w:eastAsia="Times New Roman" w:hAnsi="Century Gothic" w:cs="Calibri"/>
                <w:color w:val="000000"/>
                <w:sz w:val="20"/>
                <w:szCs w:val="20"/>
              </w:rPr>
              <w:t xml:space="preserve">. 2009. "Hetero-romantic Love and </w:t>
            </w:r>
            <w:proofErr w:type="spellStart"/>
            <w:r w:rsidRPr="00851EE1">
              <w:rPr>
                <w:rFonts w:ascii="Century Gothic" w:eastAsia="Times New Roman" w:hAnsi="Century Gothic" w:cs="Calibri"/>
                <w:color w:val="000000"/>
                <w:sz w:val="20"/>
                <w:szCs w:val="20"/>
              </w:rPr>
              <w:t>Heterosexiness</w:t>
            </w:r>
            <w:proofErr w:type="spellEnd"/>
            <w:r w:rsidRPr="00851EE1">
              <w:rPr>
                <w:rFonts w:ascii="Century Gothic" w:eastAsia="Times New Roman" w:hAnsi="Century Gothic" w:cs="Calibri"/>
                <w:color w:val="000000"/>
                <w:sz w:val="20"/>
                <w:szCs w:val="20"/>
              </w:rPr>
              <w:t xml:space="preserve"> in Children's G-rated Films." </w:t>
            </w:r>
            <w:r w:rsidRPr="00851EE1">
              <w:rPr>
                <w:rFonts w:ascii="Century Gothic" w:eastAsia="Times New Roman" w:hAnsi="Century Gothic" w:cs="Calibri"/>
                <w:i/>
                <w:iCs/>
                <w:color w:val="000000"/>
                <w:sz w:val="20"/>
                <w:szCs w:val="20"/>
              </w:rPr>
              <w:t>Gender &amp; Society</w:t>
            </w:r>
            <w:r w:rsidRPr="00851EE1">
              <w:rPr>
                <w:rFonts w:ascii="Century Gothic" w:eastAsia="Times New Roman" w:hAnsi="Century Gothic" w:cs="Calibri"/>
                <w:color w:val="000000"/>
                <w:sz w:val="20"/>
                <w:szCs w:val="20"/>
              </w:rPr>
              <w:t xml:space="preserve"> 23: 315-336. Available on Avenue.</w:t>
            </w:r>
          </w:p>
        </w:tc>
      </w:tr>
      <w:tr w:rsidR="00851EE1" w:rsidRPr="00851EE1" w14:paraId="1829C992" w14:textId="77777777" w:rsidTr="00851EE1">
        <w:trPr>
          <w:trHeight w:val="560"/>
        </w:trPr>
        <w:tc>
          <w:tcPr>
            <w:tcW w:w="1300" w:type="dxa"/>
            <w:tcBorders>
              <w:top w:val="nil"/>
              <w:left w:val="nil"/>
              <w:bottom w:val="nil"/>
              <w:right w:val="nil"/>
            </w:tcBorders>
            <w:shd w:val="clear" w:color="auto" w:fill="auto"/>
            <w:noWrap/>
            <w:hideMark/>
          </w:tcPr>
          <w:p w14:paraId="1E8B95E2"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6C01B280"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 xml:space="preserve">Fetner, Tina. 2022. “Feminist Identity and Sexual Behavior: The Intimate Is Political.” </w:t>
            </w:r>
            <w:r w:rsidRPr="00851EE1">
              <w:rPr>
                <w:rFonts w:ascii="Century Gothic" w:eastAsia="Times New Roman" w:hAnsi="Century Gothic" w:cs="Calibri"/>
                <w:i/>
                <w:iCs/>
                <w:color w:val="000000"/>
                <w:sz w:val="20"/>
                <w:szCs w:val="20"/>
              </w:rPr>
              <w:t>Archives of Sexual Behavior</w:t>
            </w:r>
            <w:r w:rsidRPr="00851EE1">
              <w:rPr>
                <w:rFonts w:ascii="Century Gothic" w:eastAsia="Times New Roman" w:hAnsi="Century Gothic" w:cs="Calibri"/>
                <w:color w:val="000000"/>
                <w:sz w:val="20"/>
                <w:szCs w:val="20"/>
              </w:rPr>
              <w:t xml:space="preserve"> 51(1):441–52. Available on Avenue.</w:t>
            </w:r>
          </w:p>
        </w:tc>
      </w:tr>
      <w:tr w:rsidR="00851EE1" w:rsidRPr="00851EE1" w14:paraId="60B6380C" w14:textId="77777777" w:rsidTr="00851EE1">
        <w:trPr>
          <w:trHeight w:val="560"/>
        </w:trPr>
        <w:tc>
          <w:tcPr>
            <w:tcW w:w="1300" w:type="dxa"/>
            <w:tcBorders>
              <w:top w:val="nil"/>
              <w:left w:val="nil"/>
              <w:bottom w:val="nil"/>
              <w:right w:val="nil"/>
            </w:tcBorders>
            <w:shd w:val="clear" w:color="auto" w:fill="auto"/>
            <w:noWrap/>
            <w:hideMark/>
          </w:tcPr>
          <w:p w14:paraId="16269D44" w14:textId="77777777" w:rsidR="00851EE1" w:rsidRPr="00851EE1" w:rsidRDefault="00851EE1" w:rsidP="00851EE1">
            <w:pPr>
              <w:spacing w:after="0" w:line="240" w:lineRule="auto"/>
              <w:ind w:hanging="480"/>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626BE828"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How is sexuality (i.e., sexual identity, behaviour, and desire) socially organized? What are the social forces that shape patterns of sexuality?</w:t>
            </w:r>
          </w:p>
        </w:tc>
      </w:tr>
      <w:tr w:rsidR="00851EE1" w:rsidRPr="00851EE1" w14:paraId="37861588" w14:textId="77777777" w:rsidTr="00851EE1">
        <w:trPr>
          <w:trHeight w:val="260"/>
        </w:trPr>
        <w:tc>
          <w:tcPr>
            <w:tcW w:w="1300" w:type="dxa"/>
            <w:tcBorders>
              <w:top w:val="nil"/>
              <w:left w:val="nil"/>
              <w:bottom w:val="nil"/>
              <w:right w:val="nil"/>
            </w:tcBorders>
            <w:shd w:val="clear" w:color="auto" w:fill="auto"/>
            <w:noWrap/>
            <w:hideMark/>
          </w:tcPr>
          <w:p w14:paraId="49910551"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586BBB10" w14:textId="77777777" w:rsidR="00851EE1" w:rsidRDefault="00851EE1" w:rsidP="00851EE1">
            <w:pPr>
              <w:spacing w:after="0" w:line="240" w:lineRule="auto"/>
              <w:rPr>
                <w:rFonts w:ascii="Times New Roman" w:eastAsia="Times New Roman" w:hAnsi="Times New Roman" w:cs="Times New Roman"/>
                <w:sz w:val="20"/>
                <w:szCs w:val="20"/>
              </w:rPr>
            </w:pPr>
          </w:p>
          <w:p w14:paraId="301E5247" w14:textId="77777777" w:rsidR="00851EE1" w:rsidRDefault="00851EE1" w:rsidP="00851EE1">
            <w:pPr>
              <w:spacing w:after="0" w:line="240" w:lineRule="auto"/>
              <w:rPr>
                <w:rFonts w:ascii="Times New Roman" w:eastAsia="Times New Roman" w:hAnsi="Times New Roman" w:cs="Times New Roman"/>
                <w:sz w:val="20"/>
                <w:szCs w:val="20"/>
              </w:rPr>
            </w:pPr>
          </w:p>
          <w:p w14:paraId="45B998DD" w14:textId="77777777" w:rsidR="00851EE1" w:rsidRDefault="00851EE1" w:rsidP="00851EE1">
            <w:pPr>
              <w:spacing w:after="0" w:line="240" w:lineRule="auto"/>
              <w:rPr>
                <w:rFonts w:ascii="Times New Roman" w:eastAsia="Times New Roman" w:hAnsi="Times New Roman" w:cs="Times New Roman"/>
                <w:sz w:val="20"/>
                <w:szCs w:val="20"/>
              </w:rPr>
            </w:pPr>
          </w:p>
          <w:p w14:paraId="5B85CFE9" w14:textId="16473B46"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0AE19256" w14:textId="77777777" w:rsidTr="00851EE1">
        <w:trPr>
          <w:trHeight w:val="280"/>
        </w:trPr>
        <w:tc>
          <w:tcPr>
            <w:tcW w:w="1300" w:type="dxa"/>
            <w:tcBorders>
              <w:top w:val="nil"/>
              <w:left w:val="nil"/>
              <w:bottom w:val="nil"/>
              <w:right w:val="nil"/>
            </w:tcBorders>
            <w:shd w:val="clear" w:color="auto" w:fill="auto"/>
            <w:noWrap/>
            <w:hideMark/>
          </w:tcPr>
          <w:p w14:paraId="2DF4CDDC"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3</w:t>
            </w:r>
          </w:p>
        </w:tc>
        <w:tc>
          <w:tcPr>
            <w:tcW w:w="7900" w:type="dxa"/>
            <w:tcBorders>
              <w:top w:val="nil"/>
              <w:left w:val="nil"/>
              <w:bottom w:val="nil"/>
              <w:right w:val="nil"/>
            </w:tcBorders>
            <w:shd w:val="clear" w:color="auto" w:fill="auto"/>
            <w:hideMark/>
          </w:tcPr>
          <w:p w14:paraId="238A4764"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Social construction of sexuality</w:t>
            </w:r>
          </w:p>
        </w:tc>
      </w:tr>
      <w:tr w:rsidR="00851EE1" w:rsidRPr="00851EE1" w14:paraId="1FE9F14B" w14:textId="77777777" w:rsidTr="00851EE1">
        <w:trPr>
          <w:trHeight w:val="560"/>
        </w:trPr>
        <w:tc>
          <w:tcPr>
            <w:tcW w:w="1300" w:type="dxa"/>
            <w:tcBorders>
              <w:top w:val="nil"/>
              <w:left w:val="nil"/>
              <w:bottom w:val="nil"/>
              <w:right w:val="nil"/>
            </w:tcBorders>
            <w:shd w:val="clear" w:color="auto" w:fill="auto"/>
            <w:noWrap/>
            <w:hideMark/>
          </w:tcPr>
          <w:p w14:paraId="0AB799E7"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lastRenderedPageBreak/>
              <w:t>23-Jan</w:t>
            </w:r>
          </w:p>
        </w:tc>
        <w:tc>
          <w:tcPr>
            <w:tcW w:w="7900" w:type="dxa"/>
            <w:tcBorders>
              <w:top w:val="nil"/>
              <w:left w:val="nil"/>
              <w:bottom w:val="nil"/>
              <w:right w:val="nil"/>
            </w:tcBorders>
            <w:shd w:val="clear" w:color="auto" w:fill="auto"/>
            <w:hideMark/>
          </w:tcPr>
          <w:p w14:paraId="4097F049"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 xml:space="preserve">Robinson, Margaret. 2020. "Two-Spirit Identity in a Time of Gender Fluidity." </w:t>
            </w:r>
            <w:r w:rsidRPr="00851EE1">
              <w:rPr>
                <w:rFonts w:ascii="Century Gothic" w:eastAsia="Times New Roman" w:hAnsi="Century Gothic" w:cs="Calibri"/>
                <w:i/>
                <w:iCs/>
                <w:color w:val="000000"/>
                <w:sz w:val="20"/>
                <w:szCs w:val="20"/>
              </w:rPr>
              <w:t>Journal of Homosexuality</w:t>
            </w:r>
            <w:r w:rsidRPr="00851EE1">
              <w:rPr>
                <w:rFonts w:ascii="Century Gothic" w:eastAsia="Times New Roman" w:hAnsi="Century Gothic" w:cs="Calibri"/>
                <w:color w:val="000000"/>
                <w:sz w:val="20"/>
                <w:szCs w:val="20"/>
              </w:rPr>
              <w:t xml:space="preserve"> 67:1675-1690. Available on Avenue.</w:t>
            </w:r>
          </w:p>
        </w:tc>
      </w:tr>
      <w:tr w:rsidR="00851EE1" w:rsidRPr="00851EE1" w14:paraId="5C1916DC" w14:textId="77777777" w:rsidTr="00851EE1">
        <w:trPr>
          <w:trHeight w:val="280"/>
        </w:trPr>
        <w:tc>
          <w:tcPr>
            <w:tcW w:w="1300" w:type="dxa"/>
            <w:tcBorders>
              <w:top w:val="nil"/>
              <w:left w:val="nil"/>
              <w:bottom w:val="nil"/>
              <w:right w:val="nil"/>
            </w:tcBorders>
            <w:shd w:val="clear" w:color="auto" w:fill="auto"/>
            <w:noWrap/>
            <w:hideMark/>
          </w:tcPr>
          <w:p w14:paraId="6CDA9CBD"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19BBFE57"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Shamus Khan.  2015.  "Not Born This Way." Aeon.co. Available on Avenue.</w:t>
            </w:r>
          </w:p>
        </w:tc>
      </w:tr>
      <w:tr w:rsidR="00851EE1" w:rsidRPr="00851EE1" w14:paraId="1A14688B" w14:textId="77777777" w:rsidTr="00851EE1">
        <w:trPr>
          <w:trHeight w:val="560"/>
        </w:trPr>
        <w:tc>
          <w:tcPr>
            <w:tcW w:w="1300" w:type="dxa"/>
            <w:tcBorders>
              <w:top w:val="nil"/>
              <w:left w:val="nil"/>
              <w:bottom w:val="nil"/>
              <w:right w:val="nil"/>
            </w:tcBorders>
            <w:shd w:val="clear" w:color="auto" w:fill="auto"/>
            <w:noWrap/>
            <w:hideMark/>
          </w:tcPr>
          <w:p w14:paraId="498EEC29"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0B06AC80"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xml:space="preserve"> What do we mean by "social construction of sexuality" and how does that relate to sexual identity, </w:t>
            </w:r>
            <w:proofErr w:type="gramStart"/>
            <w:r w:rsidRPr="00851EE1">
              <w:rPr>
                <w:rFonts w:ascii="Century Gothic" w:eastAsia="Times New Roman" w:hAnsi="Century Gothic" w:cs="Calibri"/>
                <w:color w:val="000000"/>
                <w:sz w:val="20"/>
                <w:szCs w:val="20"/>
              </w:rPr>
              <w:t>behaviour</w:t>
            </w:r>
            <w:proofErr w:type="gramEnd"/>
            <w:r w:rsidRPr="00851EE1">
              <w:rPr>
                <w:rFonts w:ascii="Century Gothic" w:eastAsia="Times New Roman" w:hAnsi="Century Gothic" w:cs="Calibri"/>
                <w:color w:val="000000"/>
                <w:sz w:val="20"/>
                <w:szCs w:val="20"/>
              </w:rPr>
              <w:t xml:space="preserve"> and desire?</w:t>
            </w:r>
          </w:p>
        </w:tc>
      </w:tr>
      <w:tr w:rsidR="00851EE1" w:rsidRPr="00851EE1" w14:paraId="40148E13" w14:textId="77777777" w:rsidTr="00851EE1">
        <w:trPr>
          <w:trHeight w:val="260"/>
        </w:trPr>
        <w:tc>
          <w:tcPr>
            <w:tcW w:w="1300" w:type="dxa"/>
            <w:tcBorders>
              <w:top w:val="nil"/>
              <w:left w:val="nil"/>
              <w:bottom w:val="nil"/>
              <w:right w:val="nil"/>
            </w:tcBorders>
            <w:shd w:val="clear" w:color="auto" w:fill="auto"/>
            <w:noWrap/>
            <w:hideMark/>
          </w:tcPr>
          <w:p w14:paraId="1BFB5F42"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15823AC0"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197B2B84" w14:textId="77777777" w:rsidTr="00851EE1">
        <w:trPr>
          <w:trHeight w:val="260"/>
        </w:trPr>
        <w:tc>
          <w:tcPr>
            <w:tcW w:w="1300" w:type="dxa"/>
            <w:tcBorders>
              <w:top w:val="nil"/>
              <w:left w:val="nil"/>
              <w:bottom w:val="nil"/>
              <w:right w:val="nil"/>
            </w:tcBorders>
            <w:shd w:val="clear" w:color="auto" w:fill="auto"/>
            <w:noWrap/>
            <w:hideMark/>
          </w:tcPr>
          <w:p w14:paraId="6F9B3CD3" w14:textId="77777777" w:rsidR="00851EE1" w:rsidRPr="00851EE1" w:rsidRDefault="00851EE1" w:rsidP="00851EE1">
            <w:pPr>
              <w:spacing w:after="0" w:line="240" w:lineRule="auto"/>
              <w:rPr>
                <w:rFonts w:ascii="Times New Roman" w:eastAsia="Times New Roman" w:hAnsi="Times New Roman" w:cs="Times New Roman"/>
                <w:sz w:val="20"/>
                <w:szCs w:val="20"/>
              </w:rPr>
            </w:pPr>
          </w:p>
        </w:tc>
        <w:tc>
          <w:tcPr>
            <w:tcW w:w="7900" w:type="dxa"/>
            <w:tcBorders>
              <w:top w:val="nil"/>
              <w:left w:val="nil"/>
              <w:bottom w:val="nil"/>
              <w:right w:val="nil"/>
            </w:tcBorders>
            <w:shd w:val="clear" w:color="auto" w:fill="auto"/>
            <w:hideMark/>
          </w:tcPr>
          <w:p w14:paraId="31796742"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747696FB" w14:textId="77777777" w:rsidTr="00851EE1">
        <w:trPr>
          <w:trHeight w:val="280"/>
        </w:trPr>
        <w:tc>
          <w:tcPr>
            <w:tcW w:w="1300" w:type="dxa"/>
            <w:tcBorders>
              <w:top w:val="nil"/>
              <w:left w:val="nil"/>
              <w:bottom w:val="nil"/>
              <w:right w:val="nil"/>
            </w:tcBorders>
            <w:shd w:val="clear" w:color="auto" w:fill="auto"/>
            <w:noWrap/>
            <w:hideMark/>
          </w:tcPr>
          <w:p w14:paraId="254126F2"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4</w:t>
            </w:r>
          </w:p>
        </w:tc>
        <w:tc>
          <w:tcPr>
            <w:tcW w:w="7900" w:type="dxa"/>
            <w:tcBorders>
              <w:top w:val="nil"/>
              <w:left w:val="nil"/>
              <w:bottom w:val="nil"/>
              <w:right w:val="nil"/>
            </w:tcBorders>
            <w:shd w:val="clear" w:color="auto" w:fill="auto"/>
            <w:hideMark/>
          </w:tcPr>
          <w:p w14:paraId="4F7FCA09"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The science (and social science) of sexuality</w:t>
            </w:r>
          </w:p>
        </w:tc>
      </w:tr>
      <w:tr w:rsidR="00851EE1" w:rsidRPr="00851EE1" w14:paraId="4986BA16" w14:textId="77777777" w:rsidTr="00851EE1">
        <w:trPr>
          <w:trHeight w:val="280"/>
        </w:trPr>
        <w:tc>
          <w:tcPr>
            <w:tcW w:w="1300" w:type="dxa"/>
            <w:tcBorders>
              <w:top w:val="nil"/>
              <w:left w:val="nil"/>
              <w:bottom w:val="nil"/>
              <w:right w:val="nil"/>
            </w:tcBorders>
            <w:shd w:val="clear" w:color="auto" w:fill="auto"/>
            <w:noWrap/>
            <w:hideMark/>
          </w:tcPr>
          <w:p w14:paraId="048B019D"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30-Jan</w:t>
            </w:r>
          </w:p>
        </w:tc>
        <w:tc>
          <w:tcPr>
            <w:tcW w:w="7900" w:type="dxa"/>
            <w:tcBorders>
              <w:top w:val="nil"/>
              <w:left w:val="nil"/>
              <w:bottom w:val="nil"/>
              <w:right w:val="nil"/>
            </w:tcBorders>
            <w:shd w:val="clear" w:color="auto" w:fill="auto"/>
            <w:hideMark/>
          </w:tcPr>
          <w:p w14:paraId="63C9A333"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i/>
                <w:iCs/>
                <w:color w:val="000000"/>
                <w:sz w:val="20"/>
                <w:szCs w:val="20"/>
              </w:rPr>
              <w:t>Sociology of Sexualities</w:t>
            </w:r>
            <w:r w:rsidRPr="00851EE1">
              <w:rPr>
                <w:rFonts w:ascii="Century Gothic" w:eastAsia="Times New Roman" w:hAnsi="Century Gothic" w:cs="Calibri"/>
                <w:color w:val="000000"/>
                <w:sz w:val="20"/>
                <w:szCs w:val="20"/>
              </w:rPr>
              <w:t>, Chapter 2: "The Science of Sexuality"</w:t>
            </w:r>
          </w:p>
        </w:tc>
      </w:tr>
      <w:tr w:rsidR="00851EE1" w:rsidRPr="00851EE1" w14:paraId="37C1F336" w14:textId="77777777" w:rsidTr="00851EE1">
        <w:trPr>
          <w:trHeight w:val="560"/>
        </w:trPr>
        <w:tc>
          <w:tcPr>
            <w:tcW w:w="1300" w:type="dxa"/>
            <w:tcBorders>
              <w:top w:val="nil"/>
              <w:left w:val="nil"/>
              <w:bottom w:val="nil"/>
              <w:right w:val="nil"/>
            </w:tcBorders>
            <w:shd w:val="clear" w:color="auto" w:fill="auto"/>
            <w:noWrap/>
            <w:hideMark/>
          </w:tcPr>
          <w:p w14:paraId="509DC0AC"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4EF568CA"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xml:space="preserve"> How does what we know about sexuality evolve over time? How is it shaped by historical and social contexts?</w:t>
            </w:r>
          </w:p>
        </w:tc>
      </w:tr>
      <w:tr w:rsidR="00851EE1" w:rsidRPr="00851EE1" w14:paraId="39486828" w14:textId="77777777" w:rsidTr="00851EE1">
        <w:trPr>
          <w:trHeight w:val="260"/>
        </w:trPr>
        <w:tc>
          <w:tcPr>
            <w:tcW w:w="1300" w:type="dxa"/>
            <w:tcBorders>
              <w:top w:val="nil"/>
              <w:left w:val="nil"/>
              <w:bottom w:val="nil"/>
              <w:right w:val="nil"/>
            </w:tcBorders>
            <w:shd w:val="clear" w:color="auto" w:fill="auto"/>
            <w:noWrap/>
            <w:hideMark/>
          </w:tcPr>
          <w:p w14:paraId="269C32B0"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51515C22"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23360587" w14:textId="77777777" w:rsidTr="00851EE1">
        <w:trPr>
          <w:trHeight w:val="280"/>
        </w:trPr>
        <w:tc>
          <w:tcPr>
            <w:tcW w:w="1300" w:type="dxa"/>
            <w:tcBorders>
              <w:top w:val="nil"/>
              <w:left w:val="nil"/>
              <w:bottom w:val="nil"/>
              <w:right w:val="nil"/>
            </w:tcBorders>
            <w:shd w:val="clear" w:color="auto" w:fill="auto"/>
            <w:noWrap/>
            <w:hideMark/>
          </w:tcPr>
          <w:p w14:paraId="29D09E46"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5</w:t>
            </w:r>
          </w:p>
        </w:tc>
        <w:tc>
          <w:tcPr>
            <w:tcW w:w="7900" w:type="dxa"/>
            <w:tcBorders>
              <w:top w:val="nil"/>
              <w:left w:val="nil"/>
              <w:bottom w:val="nil"/>
              <w:right w:val="nil"/>
            </w:tcBorders>
            <w:shd w:val="clear" w:color="auto" w:fill="auto"/>
            <w:hideMark/>
          </w:tcPr>
          <w:p w14:paraId="4354B1CE"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States, Politics, and the Economy</w:t>
            </w:r>
          </w:p>
        </w:tc>
      </w:tr>
      <w:tr w:rsidR="00851EE1" w:rsidRPr="00851EE1" w14:paraId="7DA8DF92" w14:textId="77777777" w:rsidTr="00851EE1">
        <w:trPr>
          <w:trHeight w:val="560"/>
        </w:trPr>
        <w:tc>
          <w:tcPr>
            <w:tcW w:w="1300" w:type="dxa"/>
            <w:tcBorders>
              <w:top w:val="nil"/>
              <w:left w:val="nil"/>
              <w:bottom w:val="nil"/>
              <w:right w:val="nil"/>
            </w:tcBorders>
            <w:shd w:val="clear" w:color="auto" w:fill="auto"/>
            <w:noWrap/>
            <w:hideMark/>
          </w:tcPr>
          <w:p w14:paraId="6A7ECFC7"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6-Feb</w:t>
            </w:r>
          </w:p>
        </w:tc>
        <w:tc>
          <w:tcPr>
            <w:tcW w:w="7900" w:type="dxa"/>
            <w:tcBorders>
              <w:top w:val="nil"/>
              <w:left w:val="nil"/>
              <w:bottom w:val="nil"/>
              <w:right w:val="nil"/>
            </w:tcBorders>
            <w:shd w:val="clear" w:color="auto" w:fill="auto"/>
            <w:hideMark/>
          </w:tcPr>
          <w:p w14:paraId="1DF5E6ED" w14:textId="77777777" w:rsidR="00851EE1" w:rsidRPr="00851EE1" w:rsidRDefault="00851EE1" w:rsidP="00851EE1">
            <w:pPr>
              <w:spacing w:after="0" w:line="240" w:lineRule="auto"/>
              <w:rPr>
                <w:rFonts w:ascii="Century Gothic" w:eastAsia="Times New Roman" w:hAnsi="Century Gothic" w:cs="Calibri"/>
                <w:i/>
                <w:iCs/>
                <w:color w:val="000000"/>
                <w:sz w:val="20"/>
                <w:szCs w:val="20"/>
              </w:rPr>
            </w:pPr>
            <w:r w:rsidRPr="00851EE1">
              <w:rPr>
                <w:rFonts w:ascii="Century Gothic" w:eastAsia="Times New Roman" w:hAnsi="Century Gothic" w:cs="Calibri"/>
                <w:i/>
                <w:iCs/>
                <w:color w:val="000000"/>
                <w:sz w:val="20"/>
                <w:szCs w:val="20"/>
              </w:rPr>
              <w:t>Sociology of Sexualities</w:t>
            </w:r>
            <w:r w:rsidRPr="00851EE1">
              <w:rPr>
                <w:rFonts w:ascii="Century Gothic" w:eastAsia="Times New Roman" w:hAnsi="Century Gothic" w:cs="Calibri"/>
                <w:color w:val="000000"/>
                <w:sz w:val="20"/>
                <w:szCs w:val="20"/>
              </w:rPr>
              <w:t xml:space="preserve">, First half of Chapter 4: "Social Class, Space, Place, and Sexuality" (up to </w:t>
            </w:r>
            <w:r w:rsidRPr="00851EE1">
              <w:rPr>
                <w:rFonts w:ascii="Century Gothic" w:eastAsia="Times New Roman" w:hAnsi="Century Gothic" w:cs="Calibri"/>
                <w:i/>
                <w:iCs/>
                <w:color w:val="000000"/>
                <w:sz w:val="20"/>
                <w:szCs w:val="20"/>
              </w:rPr>
              <w:t>Class, Poverty and Sexual Rights)</w:t>
            </w:r>
          </w:p>
        </w:tc>
      </w:tr>
      <w:tr w:rsidR="00851EE1" w:rsidRPr="00851EE1" w14:paraId="597085B3" w14:textId="77777777" w:rsidTr="00851EE1">
        <w:trPr>
          <w:trHeight w:val="1120"/>
        </w:trPr>
        <w:tc>
          <w:tcPr>
            <w:tcW w:w="1300" w:type="dxa"/>
            <w:tcBorders>
              <w:top w:val="nil"/>
              <w:left w:val="nil"/>
              <w:bottom w:val="nil"/>
              <w:right w:val="nil"/>
            </w:tcBorders>
            <w:shd w:val="clear" w:color="auto" w:fill="auto"/>
            <w:noWrap/>
            <w:hideMark/>
          </w:tcPr>
          <w:p w14:paraId="5295DD33" w14:textId="77777777" w:rsidR="00851EE1" w:rsidRPr="00851EE1" w:rsidRDefault="00851EE1" w:rsidP="00851EE1">
            <w:pPr>
              <w:spacing w:after="0" w:line="240" w:lineRule="auto"/>
              <w:rPr>
                <w:rFonts w:ascii="Century Gothic" w:eastAsia="Times New Roman" w:hAnsi="Century Gothic" w:cs="Calibri"/>
                <w:i/>
                <w:iCs/>
                <w:color w:val="000000"/>
                <w:sz w:val="20"/>
                <w:szCs w:val="20"/>
              </w:rPr>
            </w:pPr>
          </w:p>
        </w:tc>
        <w:tc>
          <w:tcPr>
            <w:tcW w:w="7900" w:type="dxa"/>
            <w:tcBorders>
              <w:top w:val="nil"/>
              <w:left w:val="nil"/>
              <w:bottom w:val="nil"/>
              <w:right w:val="nil"/>
            </w:tcBorders>
            <w:shd w:val="clear" w:color="auto" w:fill="auto"/>
            <w:hideMark/>
          </w:tcPr>
          <w:p w14:paraId="5A53BC6D" w14:textId="77777777" w:rsidR="00851EE1" w:rsidRPr="00851EE1" w:rsidRDefault="00851EE1" w:rsidP="00851EE1">
            <w:pPr>
              <w:spacing w:after="0" w:line="240" w:lineRule="auto"/>
              <w:rPr>
                <w:rFonts w:ascii="Century Gothic" w:eastAsia="Times New Roman" w:hAnsi="Century Gothic" w:cs="Calibri"/>
                <w:i/>
                <w:iCs/>
                <w:color w:val="000000"/>
                <w:sz w:val="20"/>
                <w:szCs w:val="20"/>
              </w:rPr>
            </w:pPr>
            <w:r w:rsidRPr="00851EE1">
              <w:rPr>
                <w:rFonts w:ascii="Century Gothic" w:eastAsia="Times New Roman" w:hAnsi="Century Gothic" w:cs="Calibri"/>
                <w:color w:val="000000"/>
                <w:sz w:val="20"/>
                <w:szCs w:val="20"/>
              </w:rPr>
              <w:t xml:space="preserve">Robin Jarvis </w:t>
            </w:r>
            <w:proofErr w:type="spellStart"/>
            <w:r w:rsidRPr="00851EE1">
              <w:rPr>
                <w:rFonts w:ascii="Century Gothic" w:eastAsia="Times New Roman" w:hAnsi="Century Gothic" w:cs="Calibri"/>
                <w:color w:val="000000"/>
                <w:sz w:val="20"/>
                <w:szCs w:val="20"/>
              </w:rPr>
              <w:t>Brownlie</w:t>
            </w:r>
            <w:proofErr w:type="spellEnd"/>
            <w:r w:rsidRPr="00851EE1">
              <w:rPr>
                <w:rFonts w:ascii="Century Gothic" w:eastAsia="Times New Roman" w:hAnsi="Century Gothic" w:cs="Calibri"/>
                <w:color w:val="000000"/>
                <w:sz w:val="20"/>
                <w:szCs w:val="20"/>
              </w:rPr>
              <w:t xml:space="preserve">. 2005. "Intimate Surveillance: Indian Affairs, Colonization, and the Regulation of Aboriginal Women’s Sexuality." Ch 7 in Katie Pickles and Myra </w:t>
            </w:r>
            <w:proofErr w:type="spellStart"/>
            <w:r w:rsidRPr="00851EE1">
              <w:rPr>
                <w:rFonts w:ascii="Century Gothic" w:eastAsia="Times New Roman" w:hAnsi="Century Gothic" w:cs="Calibri"/>
                <w:color w:val="000000"/>
                <w:sz w:val="20"/>
                <w:szCs w:val="20"/>
              </w:rPr>
              <w:t>Rutherdale</w:t>
            </w:r>
            <w:proofErr w:type="spellEnd"/>
            <w:r w:rsidRPr="00851EE1">
              <w:rPr>
                <w:rFonts w:ascii="Century Gothic" w:eastAsia="Times New Roman" w:hAnsi="Century Gothic" w:cs="Calibri"/>
                <w:color w:val="000000"/>
                <w:sz w:val="20"/>
                <w:szCs w:val="20"/>
              </w:rPr>
              <w:t>, eds.</w:t>
            </w:r>
            <w:r w:rsidRPr="00851EE1">
              <w:rPr>
                <w:rFonts w:ascii="Century Gothic" w:eastAsia="Times New Roman" w:hAnsi="Century Gothic" w:cs="Calibri"/>
                <w:i/>
                <w:iCs/>
                <w:color w:val="000000"/>
                <w:sz w:val="20"/>
                <w:szCs w:val="20"/>
              </w:rPr>
              <w:t xml:space="preserve"> Contact Zones: Aboriginal and Settler Women in Canada's Colonial Past</w:t>
            </w:r>
            <w:r w:rsidRPr="00851EE1">
              <w:rPr>
                <w:rFonts w:ascii="Century Gothic" w:eastAsia="Times New Roman" w:hAnsi="Century Gothic" w:cs="Calibri"/>
                <w:color w:val="000000"/>
                <w:sz w:val="20"/>
                <w:szCs w:val="20"/>
              </w:rPr>
              <w:t xml:space="preserve">. Vancouver: UBC Press. Available on Avenue. </w:t>
            </w:r>
          </w:p>
        </w:tc>
      </w:tr>
      <w:tr w:rsidR="00851EE1" w:rsidRPr="00851EE1" w14:paraId="36F61091" w14:textId="77777777" w:rsidTr="00851EE1">
        <w:trPr>
          <w:trHeight w:val="560"/>
        </w:trPr>
        <w:tc>
          <w:tcPr>
            <w:tcW w:w="1300" w:type="dxa"/>
            <w:tcBorders>
              <w:top w:val="nil"/>
              <w:left w:val="nil"/>
              <w:bottom w:val="nil"/>
              <w:right w:val="nil"/>
            </w:tcBorders>
            <w:shd w:val="clear" w:color="auto" w:fill="auto"/>
            <w:noWrap/>
            <w:hideMark/>
          </w:tcPr>
          <w:p w14:paraId="4CC617A4" w14:textId="77777777" w:rsidR="00851EE1" w:rsidRPr="00851EE1" w:rsidRDefault="00851EE1" w:rsidP="00851EE1">
            <w:pPr>
              <w:spacing w:after="0" w:line="240" w:lineRule="auto"/>
              <w:rPr>
                <w:rFonts w:ascii="Century Gothic" w:eastAsia="Times New Roman" w:hAnsi="Century Gothic" w:cs="Calibri"/>
                <w:i/>
                <w:iCs/>
                <w:color w:val="000000"/>
                <w:sz w:val="20"/>
                <w:szCs w:val="20"/>
              </w:rPr>
            </w:pPr>
          </w:p>
        </w:tc>
        <w:tc>
          <w:tcPr>
            <w:tcW w:w="7900" w:type="dxa"/>
            <w:tcBorders>
              <w:top w:val="nil"/>
              <w:left w:val="nil"/>
              <w:bottom w:val="nil"/>
              <w:right w:val="nil"/>
            </w:tcBorders>
            <w:shd w:val="clear" w:color="auto" w:fill="auto"/>
            <w:hideMark/>
          </w:tcPr>
          <w:p w14:paraId="6685D2D5"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What are sex and gender? In what ways are gender and sexuality mutually constitutive social institutions?</w:t>
            </w:r>
          </w:p>
        </w:tc>
      </w:tr>
      <w:tr w:rsidR="00851EE1" w:rsidRPr="00851EE1" w14:paraId="0B64EB59" w14:textId="77777777" w:rsidTr="00851EE1">
        <w:trPr>
          <w:trHeight w:val="260"/>
        </w:trPr>
        <w:tc>
          <w:tcPr>
            <w:tcW w:w="1300" w:type="dxa"/>
            <w:tcBorders>
              <w:top w:val="nil"/>
              <w:left w:val="nil"/>
              <w:bottom w:val="nil"/>
              <w:right w:val="nil"/>
            </w:tcBorders>
            <w:shd w:val="clear" w:color="auto" w:fill="auto"/>
            <w:noWrap/>
            <w:hideMark/>
          </w:tcPr>
          <w:p w14:paraId="18E666B1"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59FE49E0"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25C5877F" w14:textId="77777777" w:rsidTr="00851EE1">
        <w:trPr>
          <w:trHeight w:val="280"/>
        </w:trPr>
        <w:tc>
          <w:tcPr>
            <w:tcW w:w="1300" w:type="dxa"/>
            <w:tcBorders>
              <w:top w:val="nil"/>
              <w:left w:val="nil"/>
              <w:bottom w:val="nil"/>
              <w:right w:val="nil"/>
            </w:tcBorders>
            <w:shd w:val="clear" w:color="auto" w:fill="auto"/>
            <w:noWrap/>
            <w:hideMark/>
          </w:tcPr>
          <w:p w14:paraId="39A5680F"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 xml:space="preserve">Week 6 </w:t>
            </w:r>
          </w:p>
        </w:tc>
        <w:tc>
          <w:tcPr>
            <w:tcW w:w="7900" w:type="dxa"/>
            <w:tcBorders>
              <w:top w:val="nil"/>
              <w:left w:val="nil"/>
              <w:bottom w:val="nil"/>
              <w:right w:val="nil"/>
            </w:tcBorders>
            <w:shd w:val="clear" w:color="auto" w:fill="auto"/>
            <w:hideMark/>
          </w:tcPr>
          <w:p w14:paraId="1995E02B"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Take-home midterm due today</w:t>
            </w:r>
          </w:p>
        </w:tc>
      </w:tr>
      <w:tr w:rsidR="00851EE1" w:rsidRPr="00851EE1" w14:paraId="2C296394" w14:textId="77777777" w:rsidTr="00851EE1">
        <w:trPr>
          <w:trHeight w:val="260"/>
        </w:trPr>
        <w:tc>
          <w:tcPr>
            <w:tcW w:w="1300" w:type="dxa"/>
            <w:tcBorders>
              <w:top w:val="nil"/>
              <w:left w:val="nil"/>
              <w:bottom w:val="nil"/>
              <w:right w:val="nil"/>
            </w:tcBorders>
            <w:shd w:val="clear" w:color="auto" w:fill="auto"/>
            <w:noWrap/>
            <w:hideMark/>
          </w:tcPr>
          <w:p w14:paraId="25EBDD9E"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13-Feb</w:t>
            </w:r>
          </w:p>
        </w:tc>
        <w:tc>
          <w:tcPr>
            <w:tcW w:w="7900" w:type="dxa"/>
            <w:tcBorders>
              <w:top w:val="nil"/>
              <w:left w:val="nil"/>
              <w:bottom w:val="nil"/>
              <w:right w:val="nil"/>
            </w:tcBorders>
            <w:shd w:val="clear" w:color="auto" w:fill="auto"/>
            <w:hideMark/>
          </w:tcPr>
          <w:p w14:paraId="64A1BF01"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p>
        </w:tc>
      </w:tr>
      <w:tr w:rsidR="00851EE1" w:rsidRPr="00851EE1" w14:paraId="4CD65CA1" w14:textId="77777777" w:rsidTr="00851EE1">
        <w:trPr>
          <w:trHeight w:val="260"/>
        </w:trPr>
        <w:tc>
          <w:tcPr>
            <w:tcW w:w="1300" w:type="dxa"/>
            <w:tcBorders>
              <w:top w:val="nil"/>
              <w:left w:val="nil"/>
              <w:bottom w:val="nil"/>
              <w:right w:val="nil"/>
            </w:tcBorders>
            <w:shd w:val="clear" w:color="auto" w:fill="auto"/>
            <w:noWrap/>
            <w:hideMark/>
          </w:tcPr>
          <w:p w14:paraId="4ADDF2EA" w14:textId="77777777" w:rsidR="00851EE1" w:rsidRPr="00851EE1" w:rsidRDefault="00851EE1" w:rsidP="00851EE1">
            <w:pPr>
              <w:spacing w:after="0" w:line="240" w:lineRule="auto"/>
              <w:rPr>
                <w:rFonts w:ascii="Times New Roman" w:eastAsia="Times New Roman" w:hAnsi="Times New Roman" w:cs="Times New Roman"/>
                <w:sz w:val="20"/>
                <w:szCs w:val="20"/>
              </w:rPr>
            </w:pPr>
          </w:p>
        </w:tc>
        <w:tc>
          <w:tcPr>
            <w:tcW w:w="7900" w:type="dxa"/>
            <w:tcBorders>
              <w:top w:val="nil"/>
              <w:left w:val="nil"/>
              <w:bottom w:val="nil"/>
              <w:right w:val="nil"/>
            </w:tcBorders>
            <w:shd w:val="clear" w:color="auto" w:fill="auto"/>
            <w:hideMark/>
          </w:tcPr>
          <w:p w14:paraId="3FBCE628"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7DE3B918" w14:textId="77777777" w:rsidTr="00851EE1">
        <w:trPr>
          <w:trHeight w:val="280"/>
        </w:trPr>
        <w:tc>
          <w:tcPr>
            <w:tcW w:w="1300" w:type="dxa"/>
            <w:tcBorders>
              <w:top w:val="nil"/>
              <w:left w:val="nil"/>
              <w:bottom w:val="nil"/>
              <w:right w:val="nil"/>
            </w:tcBorders>
            <w:shd w:val="clear" w:color="auto" w:fill="auto"/>
            <w:noWrap/>
            <w:hideMark/>
          </w:tcPr>
          <w:p w14:paraId="56AC6CFF"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20-Feb</w:t>
            </w:r>
          </w:p>
        </w:tc>
        <w:tc>
          <w:tcPr>
            <w:tcW w:w="7900" w:type="dxa"/>
            <w:tcBorders>
              <w:top w:val="nil"/>
              <w:left w:val="nil"/>
              <w:bottom w:val="nil"/>
              <w:right w:val="nil"/>
            </w:tcBorders>
            <w:shd w:val="clear" w:color="auto" w:fill="auto"/>
            <w:hideMark/>
          </w:tcPr>
          <w:p w14:paraId="2FDE4AAE"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READING WEEK - no class</w:t>
            </w:r>
          </w:p>
        </w:tc>
      </w:tr>
      <w:tr w:rsidR="00851EE1" w:rsidRPr="00851EE1" w14:paraId="42C48350" w14:textId="77777777" w:rsidTr="00851EE1">
        <w:trPr>
          <w:trHeight w:val="260"/>
        </w:trPr>
        <w:tc>
          <w:tcPr>
            <w:tcW w:w="1300" w:type="dxa"/>
            <w:tcBorders>
              <w:top w:val="nil"/>
              <w:left w:val="nil"/>
              <w:bottom w:val="nil"/>
              <w:right w:val="nil"/>
            </w:tcBorders>
            <w:shd w:val="clear" w:color="auto" w:fill="auto"/>
            <w:noWrap/>
            <w:hideMark/>
          </w:tcPr>
          <w:p w14:paraId="2440BD4A"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p>
        </w:tc>
        <w:tc>
          <w:tcPr>
            <w:tcW w:w="7900" w:type="dxa"/>
            <w:tcBorders>
              <w:top w:val="nil"/>
              <w:left w:val="nil"/>
              <w:bottom w:val="nil"/>
              <w:right w:val="nil"/>
            </w:tcBorders>
            <w:shd w:val="clear" w:color="auto" w:fill="auto"/>
            <w:hideMark/>
          </w:tcPr>
          <w:p w14:paraId="62AA8531"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24EEBAA1" w14:textId="77777777" w:rsidTr="00851EE1">
        <w:trPr>
          <w:trHeight w:val="280"/>
        </w:trPr>
        <w:tc>
          <w:tcPr>
            <w:tcW w:w="1300" w:type="dxa"/>
            <w:tcBorders>
              <w:top w:val="nil"/>
              <w:left w:val="nil"/>
              <w:bottom w:val="nil"/>
              <w:right w:val="nil"/>
            </w:tcBorders>
            <w:shd w:val="clear" w:color="auto" w:fill="auto"/>
            <w:noWrap/>
            <w:hideMark/>
          </w:tcPr>
          <w:p w14:paraId="07EE7E17"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 xml:space="preserve">Week 7 </w:t>
            </w:r>
          </w:p>
        </w:tc>
        <w:tc>
          <w:tcPr>
            <w:tcW w:w="7900" w:type="dxa"/>
            <w:tcBorders>
              <w:top w:val="nil"/>
              <w:left w:val="nil"/>
              <w:bottom w:val="nil"/>
              <w:right w:val="nil"/>
            </w:tcBorders>
            <w:shd w:val="clear" w:color="auto" w:fill="auto"/>
            <w:hideMark/>
          </w:tcPr>
          <w:p w14:paraId="6367ECA7"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 xml:space="preserve">Sexuality, </w:t>
            </w:r>
            <w:proofErr w:type="gramStart"/>
            <w:r w:rsidRPr="00851EE1">
              <w:rPr>
                <w:rFonts w:ascii="Century Gothic" w:eastAsia="Times New Roman" w:hAnsi="Century Gothic" w:cs="Calibri"/>
                <w:b/>
                <w:bCs/>
                <w:color w:val="000000"/>
                <w:sz w:val="20"/>
                <w:szCs w:val="20"/>
              </w:rPr>
              <w:t>gender</w:t>
            </w:r>
            <w:proofErr w:type="gramEnd"/>
            <w:r w:rsidRPr="00851EE1">
              <w:rPr>
                <w:rFonts w:ascii="Century Gothic" w:eastAsia="Times New Roman" w:hAnsi="Century Gothic" w:cs="Calibri"/>
                <w:b/>
                <w:bCs/>
                <w:color w:val="000000"/>
                <w:sz w:val="20"/>
                <w:szCs w:val="20"/>
              </w:rPr>
              <w:t xml:space="preserve"> and inequality</w:t>
            </w:r>
          </w:p>
        </w:tc>
      </w:tr>
      <w:tr w:rsidR="00851EE1" w:rsidRPr="00851EE1" w14:paraId="3E17CBBA" w14:textId="77777777" w:rsidTr="00851EE1">
        <w:trPr>
          <w:trHeight w:val="840"/>
        </w:trPr>
        <w:tc>
          <w:tcPr>
            <w:tcW w:w="1300" w:type="dxa"/>
            <w:tcBorders>
              <w:top w:val="nil"/>
              <w:left w:val="nil"/>
              <w:bottom w:val="nil"/>
              <w:right w:val="nil"/>
            </w:tcBorders>
            <w:shd w:val="clear" w:color="auto" w:fill="auto"/>
            <w:noWrap/>
            <w:hideMark/>
          </w:tcPr>
          <w:p w14:paraId="757A84E8"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27-Feb</w:t>
            </w:r>
          </w:p>
        </w:tc>
        <w:tc>
          <w:tcPr>
            <w:tcW w:w="7900" w:type="dxa"/>
            <w:tcBorders>
              <w:top w:val="nil"/>
              <w:left w:val="nil"/>
              <w:bottom w:val="nil"/>
              <w:right w:val="nil"/>
            </w:tcBorders>
            <w:shd w:val="clear" w:color="auto" w:fill="auto"/>
            <w:hideMark/>
          </w:tcPr>
          <w:p w14:paraId="7849B0FD" w14:textId="77777777" w:rsidR="00851EE1" w:rsidRPr="00851EE1" w:rsidRDefault="00851EE1" w:rsidP="00851EE1">
            <w:pPr>
              <w:spacing w:after="0" w:line="240" w:lineRule="auto"/>
              <w:rPr>
                <w:rFonts w:ascii="Century Gothic" w:eastAsia="Times New Roman" w:hAnsi="Century Gothic" w:cs="Calibri"/>
                <w:color w:val="000000"/>
                <w:sz w:val="20"/>
                <w:szCs w:val="20"/>
              </w:rPr>
            </w:pPr>
            <w:proofErr w:type="spellStart"/>
            <w:r w:rsidRPr="00851EE1">
              <w:rPr>
                <w:rFonts w:ascii="Century Gothic" w:eastAsia="Times New Roman" w:hAnsi="Century Gothic" w:cs="Calibri"/>
                <w:color w:val="000000"/>
                <w:sz w:val="20"/>
                <w:szCs w:val="20"/>
              </w:rPr>
              <w:t>Andrejek</w:t>
            </w:r>
            <w:proofErr w:type="spellEnd"/>
            <w:r w:rsidRPr="00851EE1">
              <w:rPr>
                <w:rFonts w:ascii="Century Gothic" w:eastAsia="Times New Roman" w:hAnsi="Century Gothic" w:cs="Calibri"/>
                <w:color w:val="000000"/>
                <w:sz w:val="20"/>
                <w:szCs w:val="20"/>
              </w:rPr>
              <w:t xml:space="preserve">, Nicole, Tina Fetner, and Melanie Heath. 2022. “Climax as Work: Heteronormativity, Gender Labor, and the Gender Gap in Orgasms.” </w:t>
            </w:r>
            <w:r w:rsidRPr="00851EE1">
              <w:rPr>
                <w:rFonts w:ascii="Century Gothic" w:eastAsia="Times New Roman" w:hAnsi="Century Gothic" w:cs="Calibri"/>
                <w:i/>
                <w:iCs/>
                <w:color w:val="000000"/>
                <w:sz w:val="20"/>
                <w:szCs w:val="20"/>
              </w:rPr>
              <w:t>Gender &amp; Society</w:t>
            </w:r>
            <w:r w:rsidRPr="00851EE1">
              <w:rPr>
                <w:rFonts w:ascii="Century Gothic" w:eastAsia="Times New Roman" w:hAnsi="Century Gothic" w:cs="Calibri"/>
                <w:color w:val="000000"/>
                <w:sz w:val="20"/>
                <w:szCs w:val="20"/>
              </w:rPr>
              <w:t xml:space="preserve"> 36(2):189–213. Available on Avenue.</w:t>
            </w:r>
          </w:p>
        </w:tc>
      </w:tr>
      <w:tr w:rsidR="00851EE1" w:rsidRPr="00851EE1" w14:paraId="45FC6920" w14:textId="77777777" w:rsidTr="00851EE1">
        <w:trPr>
          <w:trHeight w:val="840"/>
        </w:trPr>
        <w:tc>
          <w:tcPr>
            <w:tcW w:w="1300" w:type="dxa"/>
            <w:tcBorders>
              <w:top w:val="nil"/>
              <w:left w:val="nil"/>
              <w:bottom w:val="nil"/>
              <w:right w:val="nil"/>
            </w:tcBorders>
            <w:shd w:val="clear" w:color="auto" w:fill="auto"/>
            <w:noWrap/>
            <w:hideMark/>
          </w:tcPr>
          <w:p w14:paraId="31EF751D" w14:textId="77777777" w:rsidR="00851EE1" w:rsidRPr="00851EE1" w:rsidRDefault="00851EE1" w:rsidP="00851EE1">
            <w:pPr>
              <w:spacing w:after="0" w:line="240" w:lineRule="auto"/>
              <w:ind w:hanging="480"/>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4A6CAB82"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 xml:space="preserve">Waite, </w:t>
            </w:r>
            <w:proofErr w:type="gramStart"/>
            <w:r w:rsidRPr="00851EE1">
              <w:rPr>
                <w:rFonts w:ascii="Century Gothic" w:eastAsia="Times New Roman" w:hAnsi="Century Gothic" w:cs="Calibri"/>
                <w:color w:val="000000"/>
                <w:sz w:val="20"/>
                <w:szCs w:val="20"/>
              </w:rPr>
              <w:t>Sean</w:t>
            </w:r>
            <w:proofErr w:type="gramEnd"/>
            <w:r w:rsidRPr="00851EE1">
              <w:rPr>
                <w:rFonts w:ascii="Century Gothic" w:eastAsia="Times New Roman" w:hAnsi="Century Gothic" w:cs="Calibri"/>
                <w:color w:val="000000"/>
                <w:sz w:val="20"/>
                <w:szCs w:val="20"/>
              </w:rPr>
              <w:t xml:space="preserve"> and Nicole Denier. 2015. "Gay Pay for Straight Work: Mechanisms Generating Disadvantage." </w:t>
            </w:r>
            <w:r w:rsidRPr="00851EE1">
              <w:rPr>
                <w:rFonts w:ascii="Century Gothic" w:eastAsia="Times New Roman" w:hAnsi="Century Gothic" w:cs="Calibri"/>
                <w:i/>
                <w:iCs/>
                <w:color w:val="000000"/>
                <w:sz w:val="20"/>
                <w:szCs w:val="20"/>
              </w:rPr>
              <w:t>Gender &amp; Society</w:t>
            </w:r>
            <w:r w:rsidRPr="00851EE1">
              <w:rPr>
                <w:rFonts w:ascii="Century Gothic" w:eastAsia="Times New Roman" w:hAnsi="Century Gothic" w:cs="Calibri"/>
                <w:color w:val="000000"/>
                <w:sz w:val="20"/>
                <w:szCs w:val="20"/>
              </w:rPr>
              <w:t xml:space="preserve"> 29(4):561-588. Available on Avenue</w:t>
            </w:r>
          </w:p>
        </w:tc>
      </w:tr>
      <w:tr w:rsidR="00851EE1" w:rsidRPr="00851EE1" w14:paraId="03460A68" w14:textId="77777777" w:rsidTr="00851EE1">
        <w:trPr>
          <w:trHeight w:val="260"/>
        </w:trPr>
        <w:tc>
          <w:tcPr>
            <w:tcW w:w="1300" w:type="dxa"/>
            <w:tcBorders>
              <w:top w:val="nil"/>
              <w:left w:val="nil"/>
              <w:bottom w:val="nil"/>
              <w:right w:val="nil"/>
            </w:tcBorders>
            <w:shd w:val="clear" w:color="auto" w:fill="auto"/>
            <w:noWrap/>
            <w:hideMark/>
          </w:tcPr>
          <w:p w14:paraId="7F59D4BA"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noWrap/>
            <w:vAlign w:val="bottom"/>
            <w:hideMark/>
          </w:tcPr>
          <w:p w14:paraId="3442D730"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How does sexuality operate as a vector of inequality?</w:t>
            </w:r>
          </w:p>
        </w:tc>
      </w:tr>
      <w:tr w:rsidR="00851EE1" w:rsidRPr="00851EE1" w14:paraId="4A13FE8F" w14:textId="77777777" w:rsidTr="00851EE1">
        <w:trPr>
          <w:trHeight w:val="260"/>
        </w:trPr>
        <w:tc>
          <w:tcPr>
            <w:tcW w:w="1300" w:type="dxa"/>
            <w:tcBorders>
              <w:top w:val="nil"/>
              <w:left w:val="nil"/>
              <w:bottom w:val="nil"/>
              <w:right w:val="nil"/>
            </w:tcBorders>
            <w:shd w:val="clear" w:color="auto" w:fill="auto"/>
            <w:noWrap/>
            <w:vAlign w:val="bottom"/>
            <w:hideMark/>
          </w:tcPr>
          <w:p w14:paraId="3109F393"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noWrap/>
            <w:vAlign w:val="bottom"/>
            <w:hideMark/>
          </w:tcPr>
          <w:p w14:paraId="65D2264B"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0E066A0C" w14:textId="77777777" w:rsidTr="00851EE1">
        <w:trPr>
          <w:trHeight w:val="280"/>
        </w:trPr>
        <w:tc>
          <w:tcPr>
            <w:tcW w:w="1300" w:type="dxa"/>
            <w:tcBorders>
              <w:top w:val="nil"/>
              <w:left w:val="nil"/>
              <w:bottom w:val="nil"/>
              <w:right w:val="nil"/>
            </w:tcBorders>
            <w:shd w:val="clear" w:color="auto" w:fill="auto"/>
            <w:noWrap/>
            <w:hideMark/>
          </w:tcPr>
          <w:p w14:paraId="7C19A2B1"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8</w:t>
            </w:r>
          </w:p>
        </w:tc>
        <w:tc>
          <w:tcPr>
            <w:tcW w:w="7900" w:type="dxa"/>
            <w:tcBorders>
              <w:top w:val="nil"/>
              <w:left w:val="nil"/>
              <w:bottom w:val="nil"/>
              <w:right w:val="nil"/>
            </w:tcBorders>
            <w:shd w:val="clear" w:color="auto" w:fill="auto"/>
            <w:hideMark/>
          </w:tcPr>
          <w:p w14:paraId="7E834BF8"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Sexual communities</w:t>
            </w:r>
          </w:p>
        </w:tc>
      </w:tr>
      <w:tr w:rsidR="00851EE1" w:rsidRPr="00851EE1" w14:paraId="07763602" w14:textId="77777777" w:rsidTr="00851EE1">
        <w:trPr>
          <w:trHeight w:val="560"/>
        </w:trPr>
        <w:tc>
          <w:tcPr>
            <w:tcW w:w="1300" w:type="dxa"/>
            <w:tcBorders>
              <w:top w:val="nil"/>
              <w:left w:val="nil"/>
              <w:bottom w:val="nil"/>
              <w:right w:val="nil"/>
            </w:tcBorders>
            <w:shd w:val="clear" w:color="auto" w:fill="auto"/>
            <w:noWrap/>
            <w:hideMark/>
          </w:tcPr>
          <w:p w14:paraId="271F1911"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6-Mar</w:t>
            </w:r>
          </w:p>
        </w:tc>
        <w:tc>
          <w:tcPr>
            <w:tcW w:w="7900" w:type="dxa"/>
            <w:tcBorders>
              <w:top w:val="nil"/>
              <w:left w:val="nil"/>
              <w:bottom w:val="nil"/>
              <w:right w:val="nil"/>
            </w:tcBorders>
            <w:shd w:val="clear" w:color="auto" w:fill="auto"/>
            <w:hideMark/>
          </w:tcPr>
          <w:p w14:paraId="6F115852" w14:textId="77777777" w:rsidR="00851EE1" w:rsidRPr="00851EE1" w:rsidRDefault="00851EE1" w:rsidP="00851EE1">
            <w:pPr>
              <w:spacing w:after="0" w:line="240" w:lineRule="auto"/>
              <w:rPr>
                <w:rFonts w:ascii="Century Gothic" w:eastAsia="Times New Roman" w:hAnsi="Century Gothic" w:cs="Calibri"/>
                <w:i/>
                <w:iCs/>
                <w:color w:val="000000"/>
                <w:sz w:val="20"/>
                <w:szCs w:val="20"/>
              </w:rPr>
            </w:pPr>
            <w:r w:rsidRPr="00851EE1">
              <w:rPr>
                <w:rFonts w:ascii="Century Gothic" w:eastAsia="Times New Roman" w:hAnsi="Century Gothic" w:cs="Calibri"/>
                <w:i/>
                <w:iCs/>
                <w:color w:val="000000"/>
                <w:sz w:val="20"/>
                <w:szCs w:val="20"/>
              </w:rPr>
              <w:t>Sociology of Sexualities</w:t>
            </w:r>
            <w:r w:rsidRPr="00851EE1">
              <w:rPr>
                <w:rFonts w:ascii="Century Gothic" w:eastAsia="Times New Roman" w:hAnsi="Century Gothic" w:cs="Calibri"/>
                <w:color w:val="000000"/>
                <w:sz w:val="20"/>
                <w:szCs w:val="20"/>
              </w:rPr>
              <w:t>, Second half of Chapter 4: "Social Class, Space, Place, and Sexuality"</w:t>
            </w:r>
          </w:p>
        </w:tc>
      </w:tr>
      <w:tr w:rsidR="00851EE1" w:rsidRPr="00851EE1" w14:paraId="09F93F03" w14:textId="77777777" w:rsidTr="00851EE1">
        <w:trPr>
          <w:trHeight w:val="280"/>
        </w:trPr>
        <w:tc>
          <w:tcPr>
            <w:tcW w:w="1300" w:type="dxa"/>
            <w:tcBorders>
              <w:top w:val="nil"/>
              <w:left w:val="nil"/>
              <w:bottom w:val="nil"/>
              <w:right w:val="nil"/>
            </w:tcBorders>
            <w:shd w:val="clear" w:color="auto" w:fill="auto"/>
            <w:noWrap/>
            <w:hideMark/>
          </w:tcPr>
          <w:p w14:paraId="5D0293B6" w14:textId="77777777" w:rsidR="00851EE1" w:rsidRPr="00851EE1" w:rsidRDefault="00851EE1" w:rsidP="00851EE1">
            <w:pPr>
              <w:spacing w:after="0" w:line="240" w:lineRule="auto"/>
              <w:rPr>
                <w:rFonts w:ascii="Century Gothic" w:eastAsia="Times New Roman" w:hAnsi="Century Gothic" w:cs="Calibri"/>
                <w:i/>
                <w:iCs/>
                <w:color w:val="000000"/>
                <w:sz w:val="20"/>
                <w:szCs w:val="20"/>
              </w:rPr>
            </w:pPr>
          </w:p>
        </w:tc>
        <w:tc>
          <w:tcPr>
            <w:tcW w:w="7900" w:type="dxa"/>
            <w:tcBorders>
              <w:top w:val="nil"/>
              <w:left w:val="nil"/>
              <w:bottom w:val="nil"/>
              <w:right w:val="nil"/>
            </w:tcBorders>
            <w:shd w:val="clear" w:color="auto" w:fill="auto"/>
            <w:hideMark/>
          </w:tcPr>
          <w:p w14:paraId="46E994AB"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xml:space="preserve">: How does sexuality organize the physical world around us? </w:t>
            </w:r>
          </w:p>
        </w:tc>
      </w:tr>
      <w:tr w:rsidR="00851EE1" w:rsidRPr="00851EE1" w14:paraId="0862043F" w14:textId="77777777" w:rsidTr="00851EE1">
        <w:trPr>
          <w:trHeight w:val="260"/>
        </w:trPr>
        <w:tc>
          <w:tcPr>
            <w:tcW w:w="1300" w:type="dxa"/>
            <w:tcBorders>
              <w:top w:val="nil"/>
              <w:left w:val="nil"/>
              <w:bottom w:val="nil"/>
              <w:right w:val="nil"/>
            </w:tcBorders>
            <w:shd w:val="clear" w:color="auto" w:fill="auto"/>
            <w:noWrap/>
            <w:hideMark/>
          </w:tcPr>
          <w:p w14:paraId="39F3163B"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3DA89B7E" w14:textId="3D804D3A"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1B72776F" w14:textId="77777777" w:rsidTr="00851EE1">
        <w:trPr>
          <w:trHeight w:val="280"/>
        </w:trPr>
        <w:tc>
          <w:tcPr>
            <w:tcW w:w="1300" w:type="dxa"/>
            <w:tcBorders>
              <w:top w:val="nil"/>
              <w:left w:val="nil"/>
              <w:bottom w:val="nil"/>
              <w:right w:val="nil"/>
            </w:tcBorders>
            <w:shd w:val="clear" w:color="auto" w:fill="auto"/>
            <w:noWrap/>
            <w:hideMark/>
          </w:tcPr>
          <w:p w14:paraId="3349A5B3"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9</w:t>
            </w:r>
          </w:p>
        </w:tc>
        <w:tc>
          <w:tcPr>
            <w:tcW w:w="7900" w:type="dxa"/>
            <w:tcBorders>
              <w:top w:val="nil"/>
              <w:left w:val="nil"/>
              <w:bottom w:val="nil"/>
              <w:right w:val="nil"/>
            </w:tcBorders>
            <w:shd w:val="clear" w:color="auto" w:fill="auto"/>
            <w:hideMark/>
          </w:tcPr>
          <w:p w14:paraId="2B66A270"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LGBTQ activism and sexuality-based mobilization</w:t>
            </w:r>
          </w:p>
        </w:tc>
      </w:tr>
      <w:tr w:rsidR="00851EE1" w:rsidRPr="00851EE1" w14:paraId="67B2D472" w14:textId="77777777" w:rsidTr="00851EE1">
        <w:trPr>
          <w:trHeight w:val="560"/>
        </w:trPr>
        <w:tc>
          <w:tcPr>
            <w:tcW w:w="1300" w:type="dxa"/>
            <w:tcBorders>
              <w:top w:val="nil"/>
              <w:left w:val="nil"/>
              <w:bottom w:val="nil"/>
              <w:right w:val="nil"/>
            </w:tcBorders>
            <w:shd w:val="clear" w:color="auto" w:fill="auto"/>
            <w:noWrap/>
            <w:hideMark/>
          </w:tcPr>
          <w:p w14:paraId="115CA183"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13-Mar</w:t>
            </w:r>
          </w:p>
        </w:tc>
        <w:tc>
          <w:tcPr>
            <w:tcW w:w="7900" w:type="dxa"/>
            <w:tcBorders>
              <w:top w:val="nil"/>
              <w:left w:val="nil"/>
              <w:bottom w:val="nil"/>
              <w:right w:val="nil"/>
            </w:tcBorders>
            <w:shd w:val="clear" w:color="auto" w:fill="auto"/>
            <w:hideMark/>
          </w:tcPr>
          <w:p w14:paraId="29ACDD4E"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i/>
                <w:iCs/>
                <w:color w:val="000000"/>
                <w:sz w:val="20"/>
                <w:szCs w:val="20"/>
              </w:rPr>
              <w:t>Sociology of Sexualities</w:t>
            </w:r>
            <w:r w:rsidRPr="00851EE1">
              <w:rPr>
                <w:rFonts w:ascii="Century Gothic" w:eastAsia="Times New Roman" w:hAnsi="Century Gothic" w:cs="Calibri"/>
                <w:color w:val="000000"/>
                <w:sz w:val="20"/>
                <w:szCs w:val="20"/>
              </w:rPr>
              <w:t>, Chapter 6: "LGBTQ and Sexuality-Based Mobilization and Activism"</w:t>
            </w:r>
          </w:p>
        </w:tc>
      </w:tr>
      <w:tr w:rsidR="00851EE1" w:rsidRPr="00851EE1" w14:paraId="73CED6EC" w14:textId="77777777" w:rsidTr="00851EE1">
        <w:trPr>
          <w:trHeight w:val="840"/>
        </w:trPr>
        <w:tc>
          <w:tcPr>
            <w:tcW w:w="1300" w:type="dxa"/>
            <w:tcBorders>
              <w:top w:val="nil"/>
              <w:left w:val="nil"/>
              <w:bottom w:val="nil"/>
              <w:right w:val="nil"/>
            </w:tcBorders>
            <w:shd w:val="clear" w:color="auto" w:fill="auto"/>
            <w:noWrap/>
            <w:hideMark/>
          </w:tcPr>
          <w:p w14:paraId="528D14D2"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09649C5A"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How have historical shifts in lesbian and gay communities been produced by LGBTQ social movements? What role did anti-LGBTQ social movements play in sexuality-based mobilization?</w:t>
            </w:r>
          </w:p>
        </w:tc>
      </w:tr>
      <w:tr w:rsidR="00851EE1" w:rsidRPr="00851EE1" w14:paraId="569FFA44" w14:textId="77777777" w:rsidTr="00851EE1">
        <w:trPr>
          <w:trHeight w:val="260"/>
        </w:trPr>
        <w:tc>
          <w:tcPr>
            <w:tcW w:w="1300" w:type="dxa"/>
            <w:tcBorders>
              <w:top w:val="nil"/>
              <w:left w:val="nil"/>
              <w:bottom w:val="nil"/>
              <w:right w:val="nil"/>
            </w:tcBorders>
            <w:shd w:val="clear" w:color="auto" w:fill="auto"/>
            <w:noWrap/>
            <w:hideMark/>
          </w:tcPr>
          <w:p w14:paraId="61181EB5"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755EF312"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35A69183" w14:textId="77777777" w:rsidTr="00851EE1">
        <w:trPr>
          <w:trHeight w:val="260"/>
        </w:trPr>
        <w:tc>
          <w:tcPr>
            <w:tcW w:w="1300" w:type="dxa"/>
            <w:tcBorders>
              <w:top w:val="nil"/>
              <w:left w:val="nil"/>
              <w:bottom w:val="nil"/>
              <w:right w:val="nil"/>
            </w:tcBorders>
            <w:shd w:val="clear" w:color="auto" w:fill="auto"/>
            <w:noWrap/>
            <w:hideMark/>
          </w:tcPr>
          <w:p w14:paraId="5250DEF0"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10</w:t>
            </w:r>
          </w:p>
        </w:tc>
        <w:tc>
          <w:tcPr>
            <w:tcW w:w="7900" w:type="dxa"/>
            <w:tcBorders>
              <w:top w:val="nil"/>
              <w:left w:val="nil"/>
              <w:bottom w:val="nil"/>
              <w:right w:val="nil"/>
            </w:tcBorders>
            <w:shd w:val="clear" w:color="auto" w:fill="auto"/>
            <w:noWrap/>
            <w:vAlign w:val="bottom"/>
            <w:hideMark/>
          </w:tcPr>
          <w:p w14:paraId="03858E09"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Sexual cultures</w:t>
            </w:r>
          </w:p>
        </w:tc>
      </w:tr>
      <w:tr w:rsidR="00851EE1" w:rsidRPr="00851EE1" w14:paraId="327092B2" w14:textId="77777777" w:rsidTr="00851EE1">
        <w:trPr>
          <w:trHeight w:val="840"/>
        </w:trPr>
        <w:tc>
          <w:tcPr>
            <w:tcW w:w="1300" w:type="dxa"/>
            <w:tcBorders>
              <w:top w:val="nil"/>
              <w:left w:val="nil"/>
              <w:bottom w:val="nil"/>
              <w:right w:val="nil"/>
            </w:tcBorders>
            <w:shd w:val="clear" w:color="auto" w:fill="auto"/>
            <w:noWrap/>
            <w:hideMark/>
          </w:tcPr>
          <w:p w14:paraId="522928CD"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20-Mar</w:t>
            </w:r>
          </w:p>
        </w:tc>
        <w:tc>
          <w:tcPr>
            <w:tcW w:w="7900" w:type="dxa"/>
            <w:tcBorders>
              <w:top w:val="nil"/>
              <w:left w:val="nil"/>
              <w:bottom w:val="nil"/>
              <w:right w:val="nil"/>
            </w:tcBorders>
            <w:shd w:val="clear" w:color="auto" w:fill="auto"/>
            <w:hideMark/>
          </w:tcPr>
          <w:p w14:paraId="100F34FD"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 xml:space="preserve">Nicole </w:t>
            </w:r>
            <w:proofErr w:type="spellStart"/>
            <w:r w:rsidRPr="00851EE1">
              <w:rPr>
                <w:rFonts w:ascii="Century Gothic" w:eastAsia="Times New Roman" w:hAnsi="Century Gothic" w:cs="Calibri"/>
                <w:color w:val="000000"/>
                <w:sz w:val="20"/>
                <w:szCs w:val="20"/>
              </w:rPr>
              <w:t>Andrejek</w:t>
            </w:r>
            <w:proofErr w:type="spellEnd"/>
            <w:r w:rsidRPr="00851EE1">
              <w:rPr>
                <w:rFonts w:ascii="Century Gothic" w:eastAsia="Times New Roman" w:hAnsi="Century Gothic" w:cs="Calibri"/>
                <w:color w:val="000000"/>
                <w:sz w:val="20"/>
                <w:szCs w:val="20"/>
              </w:rPr>
              <w:t xml:space="preserve">. 2021. “Girls’ Night Out: The Role of Women-Centered Friendship Groups in University Hookup Culture.” </w:t>
            </w:r>
            <w:r w:rsidRPr="00851EE1">
              <w:rPr>
                <w:rFonts w:ascii="Century Gothic" w:eastAsia="Times New Roman" w:hAnsi="Century Gothic" w:cs="Calibri"/>
                <w:i/>
                <w:iCs/>
                <w:color w:val="000000"/>
                <w:sz w:val="20"/>
                <w:szCs w:val="20"/>
              </w:rPr>
              <w:t>Sociological Forum</w:t>
            </w:r>
            <w:r w:rsidRPr="00851EE1">
              <w:rPr>
                <w:rFonts w:ascii="Century Gothic" w:eastAsia="Times New Roman" w:hAnsi="Century Gothic" w:cs="Calibri"/>
                <w:color w:val="000000"/>
                <w:sz w:val="20"/>
                <w:szCs w:val="20"/>
              </w:rPr>
              <w:t xml:space="preserve"> 36(3): 758-775. </w:t>
            </w:r>
            <w:r w:rsidRPr="00851EE1">
              <w:rPr>
                <w:rFonts w:ascii="Century Gothic" w:eastAsia="Times New Roman" w:hAnsi="Century Gothic" w:cs="Calibri"/>
                <w:i/>
                <w:iCs/>
                <w:color w:val="000000"/>
                <w:sz w:val="20"/>
                <w:szCs w:val="20"/>
              </w:rPr>
              <w:t>Available on Avenue to Learn.</w:t>
            </w:r>
          </w:p>
        </w:tc>
      </w:tr>
      <w:tr w:rsidR="00851EE1" w:rsidRPr="00851EE1" w14:paraId="79EA795F" w14:textId="77777777" w:rsidTr="00851EE1">
        <w:trPr>
          <w:trHeight w:val="1120"/>
        </w:trPr>
        <w:tc>
          <w:tcPr>
            <w:tcW w:w="1300" w:type="dxa"/>
            <w:tcBorders>
              <w:top w:val="nil"/>
              <w:left w:val="nil"/>
              <w:bottom w:val="nil"/>
              <w:right w:val="nil"/>
            </w:tcBorders>
            <w:shd w:val="clear" w:color="auto" w:fill="auto"/>
            <w:noWrap/>
            <w:hideMark/>
          </w:tcPr>
          <w:p w14:paraId="23B886C4"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7916C758"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 xml:space="preserve">Sewell, Kelsey </w:t>
            </w:r>
            <w:proofErr w:type="gramStart"/>
            <w:r w:rsidRPr="00851EE1">
              <w:rPr>
                <w:rFonts w:ascii="Century Gothic" w:eastAsia="Times New Roman" w:hAnsi="Century Gothic" w:cs="Calibri"/>
                <w:color w:val="000000"/>
                <w:sz w:val="20"/>
                <w:szCs w:val="20"/>
              </w:rPr>
              <w:t>K.</w:t>
            </w:r>
            <w:proofErr w:type="gramEnd"/>
            <w:r w:rsidRPr="00851EE1">
              <w:rPr>
                <w:rFonts w:ascii="Century Gothic" w:eastAsia="Times New Roman" w:hAnsi="Century Gothic" w:cs="Calibri"/>
                <w:color w:val="000000"/>
                <w:sz w:val="20"/>
                <w:szCs w:val="20"/>
              </w:rPr>
              <w:t xml:space="preserve"> and Donald </w:t>
            </w:r>
            <w:proofErr w:type="spellStart"/>
            <w:r w:rsidRPr="00851EE1">
              <w:rPr>
                <w:rFonts w:ascii="Century Gothic" w:eastAsia="Times New Roman" w:hAnsi="Century Gothic" w:cs="Calibri"/>
                <w:color w:val="000000"/>
                <w:sz w:val="20"/>
                <w:szCs w:val="20"/>
              </w:rPr>
              <w:t>Strassberg</w:t>
            </w:r>
            <w:proofErr w:type="spellEnd"/>
            <w:r w:rsidRPr="00851EE1">
              <w:rPr>
                <w:rFonts w:ascii="Century Gothic" w:eastAsia="Times New Roman" w:hAnsi="Century Gothic" w:cs="Calibri"/>
                <w:color w:val="000000"/>
                <w:sz w:val="20"/>
                <w:szCs w:val="20"/>
              </w:rPr>
              <w:t xml:space="preserve">. 2015. “How do Heterosexual Undergraduate Students Define Having Sex? A New Approach to an Old Problem.” </w:t>
            </w:r>
            <w:r w:rsidRPr="00851EE1">
              <w:rPr>
                <w:rFonts w:ascii="Century Gothic" w:eastAsia="Times New Roman" w:hAnsi="Century Gothic" w:cs="Calibri"/>
                <w:i/>
                <w:iCs/>
                <w:color w:val="000000"/>
                <w:sz w:val="20"/>
                <w:szCs w:val="20"/>
              </w:rPr>
              <w:t>Journal of Sex Research</w:t>
            </w:r>
            <w:r w:rsidRPr="00851EE1">
              <w:rPr>
                <w:rFonts w:ascii="Century Gothic" w:eastAsia="Times New Roman" w:hAnsi="Century Gothic" w:cs="Calibri"/>
                <w:color w:val="000000"/>
                <w:sz w:val="20"/>
                <w:szCs w:val="20"/>
              </w:rPr>
              <w:t xml:space="preserve"> 52(5): 507-516. </w:t>
            </w:r>
            <w:r w:rsidRPr="00851EE1">
              <w:rPr>
                <w:rFonts w:ascii="Century Gothic" w:eastAsia="Times New Roman" w:hAnsi="Century Gothic" w:cs="Calibri"/>
                <w:i/>
                <w:iCs/>
                <w:color w:val="000000"/>
                <w:sz w:val="20"/>
                <w:szCs w:val="20"/>
              </w:rPr>
              <w:t>Available on Avenue to Learn</w:t>
            </w:r>
          </w:p>
        </w:tc>
      </w:tr>
      <w:tr w:rsidR="00851EE1" w:rsidRPr="00851EE1" w14:paraId="1C61C85B" w14:textId="77777777" w:rsidTr="00851EE1">
        <w:trPr>
          <w:trHeight w:val="560"/>
        </w:trPr>
        <w:tc>
          <w:tcPr>
            <w:tcW w:w="1300" w:type="dxa"/>
            <w:tcBorders>
              <w:top w:val="nil"/>
              <w:left w:val="nil"/>
              <w:bottom w:val="nil"/>
              <w:right w:val="nil"/>
            </w:tcBorders>
            <w:shd w:val="clear" w:color="auto" w:fill="auto"/>
            <w:noWrap/>
            <w:hideMark/>
          </w:tcPr>
          <w:p w14:paraId="333F1BD6"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171BB0FE"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What are sexual cultures? What social forces produce them? How do we engage with various sexual cultures?</w:t>
            </w:r>
          </w:p>
        </w:tc>
      </w:tr>
      <w:tr w:rsidR="00851EE1" w:rsidRPr="00851EE1" w14:paraId="6ABDE61C" w14:textId="77777777" w:rsidTr="00851EE1">
        <w:trPr>
          <w:trHeight w:val="260"/>
        </w:trPr>
        <w:tc>
          <w:tcPr>
            <w:tcW w:w="1300" w:type="dxa"/>
            <w:tcBorders>
              <w:top w:val="nil"/>
              <w:left w:val="nil"/>
              <w:bottom w:val="nil"/>
              <w:right w:val="nil"/>
            </w:tcBorders>
            <w:shd w:val="clear" w:color="auto" w:fill="auto"/>
            <w:noWrap/>
            <w:hideMark/>
          </w:tcPr>
          <w:p w14:paraId="6E501ADB"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p>
        </w:tc>
        <w:tc>
          <w:tcPr>
            <w:tcW w:w="7900" w:type="dxa"/>
            <w:tcBorders>
              <w:top w:val="nil"/>
              <w:left w:val="nil"/>
              <w:bottom w:val="nil"/>
              <w:right w:val="nil"/>
            </w:tcBorders>
            <w:shd w:val="clear" w:color="auto" w:fill="auto"/>
            <w:noWrap/>
            <w:vAlign w:val="bottom"/>
            <w:hideMark/>
          </w:tcPr>
          <w:p w14:paraId="12232E8F"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6D740078" w14:textId="77777777" w:rsidTr="00851EE1">
        <w:trPr>
          <w:trHeight w:val="280"/>
        </w:trPr>
        <w:tc>
          <w:tcPr>
            <w:tcW w:w="1300" w:type="dxa"/>
            <w:tcBorders>
              <w:top w:val="nil"/>
              <w:left w:val="nil"/>
              <w:bottom w:val="nil"/>
              <w:right w:val="nil"/>
            </w:tcBorders>
            <w:shd w:val="clear" w:color="auto" w:fill="auto"/>
            <w:noWrap/>
            <w:hideMark/>
          </w:tcPr>
          <w:p w14:paraId="1231A8ED"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11</w:t>
            </w:r>
          </w:p>
        </w:tc>
        <w:tc>
          <w:tcPr>
            <w:tcW w:w="7900" w:type="dxa"/>
            <w:tcBorders>
              <w:top w:val="nil"/>
              <w:left w:val="nil"/>
              <w:bottom w:val="nil"/>
              <w:right w:val="nil"/>
            </w:tcBorders>
            <w:shd w:val="clear" w:color="auto" w:fill="auto"/>
            <w:hideMark/>
          </w:tcPr>
          <w:p w14:paraId="162A3D07"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Mediated Sexual Cultures</w:t>
            </w:r>
          </w:p>
        </w:tc>
      </w:tr>
      <w:tr w:rsidR="00851EE1" w:rsidRPr="00851EE1" w14:paraId="5AECA008" w14:textId="77777777" w:rsidTr="00851EE1">
        <w:trPr>
          <w:trHeight w:val="840"/>
        </w:trPr>
        <w:tc>
          <w:tcPr>
            <w:tcW w:w="1300" w:type="dxa"/>
            <w:tcBorders>
              <w:top w:val="nil"/>
              <w:left w:val="nil"/>
              <w:bottom w:val="nil"/>
              <w:right w:val="nil"/>
            </w:tcBorders>
            <w:shd w:val="clear" w:color="auto" w:fill="auto"/>
            <w:noWrap/>
            <w:hideMark/>
          </w:tcPr>
          <w:p w14:paraId="1642EE03"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27-Mar</w:t>
            </w:r>
          </w:p>
        </w:tc>
        <w:tc>
          <w:tcPr>
            <w:tcW w:w="7900" w:type="dxa"/>
            <w:tcBorders>
              <w:top w:val="nil"/>
              <w:left w:val="nil"/>
              <w:bottom w:val="nil"/>
              <w:right w:val="nil"/>
            </w:tcBorders>
            <w:shd w:val="clear" w:color="auto" w:fill="auto"/>
            <w:hideMark/>
          </w:tcPr>
          <w:p w14:paraId="20B1AAA8" w14:textId="77777777" w:rsidR="00851EE1" w:rsidRPr="00851EE1" w:rsidRDefault="00851EE1" w:rsidP="00851EE1">
            <w:pPr>
              <w:spacing w:after="0" w:line="240" w:lineRule="auto"/>
              <w:rPr>
                <w:rFonts w:ascii="Century Gothic" w:eastAsia="Times New Roman" w:hAnsi="Century Gothic" w:cs="Calibri"/>
                <w:color w:val="333333"/>
                <w:sz w:val="20"/>
                <w:szCs w:val="20"/>
              </w:rPr>
            </w:pPr>
            <w:r w:rsidRPr="00851EE1">
              <w:rPr>
                <w:rFonts w:ascii="Century Gothic" w:eastAsia="Times New Roman" w:hAnsi="Century Gothic" w:cs="Calibri"/>
                <w:color w:val="333333"/>
                <w:sz w:val="20"/>
                <w:szCs w:val="20"/>
              </w:rPr>
              <w:t xml:space="preserve">Paul J. Wright, Debby </w:t>
            </w:r>
            <w:proofErr w:type="spellStart"/>
            <w:r w:rsidRPr="00851EE1">
              <w:rPr>
                <w:rFonts w:ascii="Century Gothic" w:eastAsia="Times New Roman" w:hAnsi="Century Gothic" w:cs="Calibri"/>
                <w:color w:val="333333"/>
                <w:sz w:val="20"/>
                <w:szCs w:val="20"/>
              </w:rPr>
              <w:t>Herbenick</w:t>
            </w:r>
            <w:proofErr w:type="spellEnd"/>
            <w:r w:rsidRPr="00851EE1">
              <w:rPr>
                <w:rFonts w:ascii="Century Gothic" w:eastAsia="Times New Roman" w:hAnsi="Century Gothic" w:cs="Calibri"/>
                <w:color w:val="333333"/>
                <w:sz w:val="20"/>
                <w:szCs w:val="20"/>
              </w:rPr>
              <w:t xml:space="preserve"> &amp; Robert S. Tokunaga. 2022. "Pornography and Women’s Experience of Mixed-Gender Sexual Choking/Strangulation." </w:t>
            </w:r>
            <w:r w:rsidRPr="00851EE1">
              <w:rPr>
                <w:rFonts w:ascii="Century Gothic" w:eastAsia="Times New Roman" w:hAnsi="Century Gothic" w:cs="Calibri"/>
                <w:i/>
                <w:iCs/>
                <w:color w:val="333333"/>
                <w:sz w:val="20"/>
                <w:szCs w:val="20"/>
              </w:rPr>
              <w:t>Journal of Health</w:t>
            </w:r>
            <w:r w:rsidRPr="00851EE1">
              <w:rPr>
                <w:rFonts w:ascii="Century Gothic" w:eastAsia="Times New Roman" w:hAnsi="Century Gothic" w:cs="Calibri"/>
                <w:color w:val="333333"/>
                <w:sz w:val="20"/>
                <w:szCs w:val="20"/>
              </w:rPr>
              <w:t xml:space="preserve"> </w:t>
            </w:r>
            <w:r w:rsidRPr="00851EE1">
              <w:rPr>
                <w:rFonts w:ascii="Century Gothic" w:eastAsia="Times New Roman" w:hAnsi="Century Gothic" w:cs="Calibri"/>
                <w:i/>
                <w:iCs/>
                <w:color w:val="333333"/>
                <w:sz w:val="20"/>
                <w:szCs w:val="20"/>
              </w:rPr>
              <w:t>Communication</w:t>
            </w:r>
            <w:r w:rsidRPr="00851EE1">
              <w:rPr>
                <w:rFonts w:ascii="Century Gothic" w:eastAsia="Times New Roman" w:hAnsi="Century Gothic" w:cs="Calibri"/>
                <w:color w:val="333333"/>
                <w:sz w:val="20"/>
                <w:szCs w:val="20"/>
              </w:rPr>
              <w:t>, 27:173-182. Available on Avenue.</w:t>
            </w:r>
          </w:p>
        </w:tc>
      </w:tr>
      <w:tr w:rsidR="00851EE1" w:rsidRPr="00851EE1" w14:paraId="1811A173" w14:textId="77777777" w:rsidTr="00851EE1">
        <w:trPr>
          <w:trHeight w:val="560"/>
        </w:trPr>
        <w:tc>
          <w:tcPr>
            <w:tcW w:w="1300" w:type="dxa"/>
            <w:tcBorders>
              <w:top w:val="nil"/>
              <w:left w:val="nil"/>
              <w:bottom w:val="nil"/>
              <w:right w:val="nil"/>
            </w:tcBorders>
            <w:shd w:val="clear" w:color="auto" w:fill="auto"/>
            <w:noWrap/>
            <w:hideMark/>
          </w:tcPr>
          <w:p w14:paraId="42C44B2B" w14:textId="77777777" w:rsidR="00851EE1" w:rsidRPr="00851EE1" w:rsidRDefault="00851EE1" w:rsidP="00851EE1">
            <w:pPr>
              <w:spacing w:after="0" w:line="240" w:lineRule="auto"/>
              <w:rPr>
                <w:rFonts w:ascii="Century Gothic" w:eastAsia="Times New Roman" w:hAnsi="Century Gothic" w:cs="Calibri"/>
                <w:color w:val="333333"/>
                <w:sz w:val="20"/>
                <w:szCs w:val="20"/>
              </w:rPr>
            </w:pPr>
          </w:p>
        </w:tc>
        <w:tc>
          <w:tcPr>
            <w:tcW w:w="7900" w:type="dxa"/>
            <w:tcBorders>
              <w:top w:val="nil"/>
              <w:left w:val="nil"/>
              <w:bottom w:val="nil"/>
              <w:right w:val="nil"/>
            </w:tcBorders>
            <w:shd w:val="clear" w:color="auto" w:fill="auto"/>
            <w:hideMark/>
          </w:tcPr>
          <w:p w14:paraId="7F84788C"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Topic</w:t>
            </w:r>
            <w:r w:rsidRPr="00851EE1">
              <w:rPr>
                <w:rFonts w:ascii="Century Gothic" w:eastAsia="Times New Roman" w:hAnsi="Century Gothic" w:cs="Calibri"/>
                <w:color w:val="000000"/>
                <w:sz w:val="20"/>
                <w:szCs w:val="20"/>
              </w:rPr>
              <w:t xml:space="preserve">: How do sexually explicit media depictions impact sexual desire/behaviour/culture? </w:t>
            </w:r>
          </w:p>
        </w:tc>
      </w:tr>
      <w:tr w:rsidR="00851EE1" w:rsidRPr="00851EE1" w14:paraId="671C2BE2" w14:textId="77777777" w:rsidTr="00851EE1">
        <w:trPr>
          <w:trHeight w:val="260"/>
        </w:trPr>
        <w:tc>
          <w:tcPr>
            <w:tcW w:w="1300" w:type="dxa"/>
            <w:tcBorders>
              <w:top w:val="nil"/>
              <w:left w:val="nil"/>
              <w:bottom w:val="nil"/>
              <w:right w:val="nil"/>
            </w:tcBorders>
            <w:shd w:val="clear" w:color="auto" w:fill="auto"/>
            <w:noWrap/>
            <w:hideMark/>
          </w:tcPr>
          <w:p w14:paraId="776B85BA"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p>
        </w:tc>
        <w:tc>
          <w:tcPr>
            <w:tcW w:w="7900" w:type="dxa"/>
            <w:tcBorders>
              <w:top w:val="nil"/>
              <w:left w:val="nil"/>
              <w:bottom w:val="nil"/>
              <w:right w:val="nil"/>
            </w:tcBorders>
            <w:shd w:val="clear" w:color="auto" w:fill="auto"/>
            <w:hideMark/>
          </w:tcPr>
          <w:p w14:paraId="72F61F50"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012CCFAC" w14:textId="77777777" w:rsidTr="00851EE1">
        <w:trPr>
          <w:trHeight w:val="280"/>
        </w:trPr>
        <w:tc>
          <w:tcPr>
            <w:tcW w:w="1300" w:type="dxa"/>
            <w:tcBorders>
              <w:top w:val="nil"/>
              <w:left w:val="nil"/>
              <w:bottom w:val="nil"/>
              <w:right w:val="nil"/>
            </w:tcBorders>
            <w:shd w:val="clear" w:color="auto" w:fill="auto"/>
            <w:noWrap/>
            <w:hideMark/>
          </w:tcPr>
          <w:p w14:paraId="3ECC65A0"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12</w:t>
            </w:r>
          </w:p>
        </w:tc>
        <w:tc>
          <w:tcPr>
            <w:tcW w:w="7900" w:type="dxa"/>
            <w:tcBorders>
              <w:top w:val="nil"/>
              <w:left w:val="nil"/>
              <w:bottom w:val="nil"/>
              <w:right w:val="nil"/>
            </w:tcBorders>
            <w:shd w:val="clear" w:color="auto" w:fill="auto"/>
            <w:hideMark/>
          </w:tcPr>
          <w:p w14:paraId="426393E0"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Timed online exam takes place from 10:30am-12pm.</w:t>
            </w:r>
          </w:p>
        </w:tc>
      </w:tr>
      <w:tr w:rsidR="00851EE1" w:rsidRPr="00851EE1" w14:paraId="477AB348" w14:textId="77777777" w:rsidTr="00851EE1">
        <w:trPr>
          <w:trHeight w:val="280"/>
        </w:trPr>
        <w:tc>
          <w:tcPr>
            <w:tcW w:w="1300" w:type="dxa"/>
            <w:tcBorders>
              <w:top w:val="nil"/>
              <w:left w:val="nil"/>
              <w:bottom w:val="nil"/>
              <w:right w:val="nil"/>
            </w:tcBorders>
            <w:shd w:val="clear" w:color="auto" w:fill="auto"/>
            <w:noWrap/>
            <w:hideMark/>
          </w:tcPr>
          <w:p w14:paraId="2F279E0D"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3-Apr</w:t>
            </w:r>
          </w:p>
        </w:tc>
        <w:tc>
          <w:tcPr>
            <w:tcW w:w="7900" w:type="dxa"/>
            <w:tcBorders>
              <w:top w:val="nil"/>
              <w:left w:val="nil"/>
              <w:bottom w:val="nil"/>
              <w:right w:val="nil"/>
            </w:tcBorders>
            <w:shd w:val="clear" w:color="auto" w:fill="auto"/>
            <w:hideMark/>
          </w:tcPr>
          <w:p w14:paraId="1DE724C7"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 xml:space="preserve">Please schedule this synchronous component of the course in your calendar. </w:t>
            </w:r>
          </w:p>
        </w:tc>
      </w:tr>
      <w:tr w:rsidR="00851EE1" w:rsidRPr="00851EE1" w14:paraId="2015416D" w14:textId="77777777" w:rsidTr="00851EE1">
        <w:trPr>
          <w:trHeight w:val="260"/>
        </w:trPr>
        <w:tc>
          <w:tcPr>
            <w:tcW w:w="1300" w:type="dxa"/>
            <w:tcBorders>
              <w:top w:val="nil"/>
              <w:left w:val="nil"/>
              <w:bottom w:val="nil"/>
              <w:right w:val="nil"/>
            </w:tcBorders>
            <w:shd w:val="clear" w:color="auto" w:fill="auto"/>
            <w:noWrap/>
            <w:hideMark/>
          </w:tcPr>
          <w:p w14:paraId="493CB034"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hideMark/>
          </w:tcPr>
          <w:p w14:paraId="3840915C" w14:textId="77777777" w:rsidR="00851EE1" w:rsidRPr="00851EE1" w:rsidRDefault="00851EE1" w:rsidP="00851EE1">
            <w:pPr>
              <w:spacing w:after="0" w:line="240" w:lineRule="auto"/>
              <w:rPr>
                <w:rFonts w:ascii="Times New Roman" w:eastAsia="Times New Roman" w:hAnsi="Times New Roman" w:cs="Times New Roman"/>
                <w:sz w:val="20"/>
                <w:szCs w:val="20"/>
              </w:rPr>
            </w:pPr>
          </w:p>
        </w:tc>
      </w:tr>
      <w:tr w:rsidR="00851EE1" w:rsidRPr="00851EE1" w14:paraId="5B7F1CC2" w14:textId="77777777" w:rsidTr="00851EE1">
        <w:trPr>
          <w:trHeight w:val="280"/>
        </w:trPr>
        <w:tc>
          <w:tcPr>
            <w:tcW w:w="1300" w:type="dxa"/>
            <w:tcBorders>
              <w:top w:val="nil"/>
              <w:left w:val="nil"/>
              <w:bottom w:val="nil"/>
              <w:right w:val="nil"/>
            </w:tcBorders>
            <w:shd w:val="clear" w:color="auto" w:fill="auto"/>
            <w:noWrap/>
            <w:hideMark/>
          </w:tcPr>
          <w:p w14:paraId="6A7BC59E"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Week 13</w:t>
            </w:r>
          </w:p>
        </w:tc>
        <w:tc>
          <w:tcPr>
            <w:tcW w:w="7900" w:type="dxa"/>
            <w:tcBorders>
              <w:top w:val="nil"/>
              <w:left w:val="nil"/>
              <w:bottom w:val="nil"/>
              <w:right w:val="nil"/>
            </w:tcBorders>
            <w:shd w:val="clear" w:color="auto" w:fill="auto"/>
            <w:hideMark/>
          </w:tcPr>
          <w:p w14:paraId="29592221"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Class wrap-up</w:t>
            </w:r>
          </w:p>
        </w:tc>
      </w:tr>
      <w:tr w:rsidR="00851EE1" w:rsidRPr="00851EE1" w14:paraId="03E0B036" w14:textId="77777777" w:rsidTr="00851EE1">
        <w:trPr>
          <w:trHeight w:val="280"/>
        </w:trPr>
        <w:tc>
          <w:tcPr>
            <w:tcW w:w="1300" w:type="dxa"/>
            <w:tcBorders>
              <w:top w:val="nil"/>
              <w:left w:val="nil"/>
              <w:bottom w:val="nil"/>
              <w:right w:val="nil"/>
            </w:tcBorders>
            <w:shd w:val="clear" w:color="auto" w:fill="auto"/>
            <w:noWrap/>
            <w:hideMark/>
          </w:tcPr>
          <w:p w14:paraId="367F3756"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10-Apr</w:t>
            </w:r>
          </w:p>
        </w:tc>
        <w:tc>
          <w:tcPr>
            <w:tcW w:w="7900" w:type="dxa"/>
            <w:tcBorders>
              <w:top w:val="nil"/>
              <w:left w:val="nil"/>
              <w:bottom w:val="nil"/>
              <w:right w:val="nil"/>
            </w:tcBorders>
            <w:shd w:val="clear" w:color="auto" w:fill="auto"/>
            <w:hideMark/>
          </w:tcPr>
          <w:p w14:paraId="497AB78E" w14:textId="77777777" w:rsidR="00851EE1" w:rsidRPr="00851EE1" w:rsidRDefault="00851EE1" w:rsidP="00851EE1">
            <w:pPr>
              <w:spacing w:after="0" w:line="240" w:lineRule="auto"/>
              <w:rPr>
                <w:rFonts w:ascii="Century Gothic" w:eastAsia="Times New Roman" w:hAnsi="Century Gothic" w:cs="Calibri"/>
                <w:color w:val="000000"/>
                <w:sz w:val="20"/>
                <w:szCs w:val="20"/>
              </w:rPr>
            </w:pPr>
            <w:r w:rsidRPr="00851EE1">
              <w:rPr>
                <w:rFonts w:ascii="Century Gothic" w:eastAsia="Times New Roman" w:hAnsi="Century Gothic" w:cs="Calibri"/>
                <w:color w:val="000000"/>
                <w:sz w:val="20"/>
                <w:szCs w:val="20"/>
              </w:rPr>
              <w:t>What are the big ideas you should take away from this course?</w:t>
            </w:r>
          </w:p>
        </w:tc>
      </w:tr>
      <w:tr w:rsidR="00851EE1" w:rsidRPr="00851EE1" w14:paraId="544F2742" w14:textId="77777777" w:rsidTr="00851EE1">
        <w:trPr>
          <w:trHeight w:val="260"/>
        </w:trPr>
        <w:tc>
          <w:tcPr>
            <w:tcW w:w="1300" w:type="dxa"/>
            <w:tcBorders>
              <w:top w:val="nil"/>
              <w:left w:val="nil"/>
              <w:bottom w:val="nil"/>
              <w:right w:val="nil"/>
            </w:tcBorders>
            <w:shd w:val="clear" w:color="auto" w:fill="auto"/>
            <w:noWrap/>
            <w:hideMark/>
          </w:tcPr>
          <w:p w14:paraId="5DD4B120" w14:textId="77777777" w:rsidR="00851EE1" w:rsidRPr="00851EE1" w:rsidRDefault="00851EE1" w:rsidP="00851EE1">
            <w:pPr>
              <w:spacing w:after="0" w:line="240" w:lineRule="auto"/>
              <w:rPr>
                <w:rFonts w:ascii="Century Gothic" w:eastAsia="Times New Roman" w:hAnsi="Century Gothic" w:cs="Calibri"/>
                <w:color w:val="000000"/>
                <w:sz w:val="20"/>
                <w:szCs w:val="20"/>
              </w:rPr>
            </w:pPr>
          </w:p>
        </w:tc>
        <w:tc>
          <w:tcPr>
            <w:tcW w:w="7900" w:type="dxa"/>
            <w:tcBorders>
              <w:top w:val="nil"/>
              <w:left w:val="nil"/>
              <w:bottom w:val="nil"/>
              <w:right w:val="nil"/>
            </w:tcBorders>
            <w:shd w:val="clear" w:color="auto" w:fill="auto"/>
            <w:noWrap/>
            <w:vAlign w:val="bottom"/>
            <w:hideMark/>
          </w:tcPr>
          <w:p w14:paraId="439C0A97" w14:textId="77777777" w:rsidR="00851EE1" w:rsidRPr="00851EE1" w:rsidRDefault="00851EE1" w:rsidP="00851EE1">
            <w:pPr>
              <w:spacing w:after="0" w:line="240" w:lineRule="auto"/>
              <w:rPr>
                <w:rFonts w:ascii="Century Gothic" w:eastAsia="Times New Roman" w:hAnsi="Century Gothic" w:cs="Calibri"/>
                <w:b/>
                <w:bCs/>
                <w:color w:val="000000"/>
                <w:sz w:val="20"/>
                <w:szCs w:val="20"/>
              </w:rPr>
            </w:pPr>
            <w:r w:rsidRPr="00851EE1">
              <w:rPr>
                <w:rFonts w:ascii="Century Gothic" w:eastAsia="Times New Roman" w:hAnsi="Century Gothic" w:cs="Calibri"/>
                <w:b/>
                <w:bCs/>
                <w:color w:val="000000"/>
                <w:sz w:val="20"/>
                <w:szCs w:val="20"/>
              </w:rPr>
              <w:t>Book reviews due today.</w:t>
            </w:r>
          </w:p>
        </w:tc>
      </w:tr>
    </w:tbl>
    <w:p w14:paraId="0E169E80" w14:textId="77777777" w:rsidR="009A4858" w:rsidRDefault="009A4858" w:rsidP="002B1B46">
      <w:pPr>
        <w:pStyle w:val="Heading2"/>
      </w:pPr>
    </w:p>
    <w:p w14:paraId="51660416" w14:textId="3C7CAC09" w:rsidR="00A05C89" w:rsidRDefault="00A05C89" w:rsidP="009F7FC2">
      <w:pPr>
        <w:pStyle w:val="Heading1"/>
      </w:pPr>
      <w:bookmarkStart w:id="7" w:name="_Toc14941534"/>
      <w:bookmarkEnd w:id="6"/>
      <w:r>
        <w:t>Course Policies</w:t>
      </w:r>
      <w:bookmarkEnd w:id="7"/>
    </w:p>
    <w:p w14:paraId="7313BB84" w14:textId="570DAFF6" w:rsidR="003B229F" w:rsidRDefault="003B229F" w:rsidP="008E2CC8">
      <w:pPr>
        <w:pStyle w:val="Heading2"/>
      </w:pPr>
      <w:bookmarkStart w:id="8" w:name="_Toc14941535"/>
      <w:r>
        <w:t>Email requirements</w:t>
      </w:r>
    </w:p>
    <w:p w14:paraId="3AE272CD" w14:textId="763B0BA4" w:rsidR="00501819" w:rsidRDefault="003B229F" w:rsidP="003B229F">
      <w:r w:rsidRPr="003B229F">
        <w:t xml:space="preserve">Please consider email equivalent to any other form of written communication. Students who write to their professors and teaching assistants are expected to follow rules of spelling, </w:t>
      </w:r>
      <w:proofErr w:type="gramStart"/>
      <w:r w:rsidRPr="003B229F">
        <w:t>grammar</w:t>
      </w:r>
      <w:proofErr w:type="gramEnd"/>
      <w:r w:rsidRPr="003B229F">
        <w:t xml:space="preserve"> and punctuation. In addition, please include a proper greeting, such as "</w:t>
      </w:r>
      <w:r w:rsidR="00E87DC9">
        <w:t>Hello,</w:t>
      </w:r>
      <w:r w:rsidRPr="003B229F">
        <w:t xml:space="preserve"> Dr. Fetner," and a closing that includes your full name, such as "Sincerely, Jane Lee." For some items, it is also helpful to have your student number. </w:t>
      </w:r>
    </w:p>
    <w:p w14:paraId="432457B2" w14:textId="25013888" w:rsidR="003B229F" w:rsidRPr="003B229F" w:rsidRDefault="003B229F" w:rsidP="003B229F">
      <w:r w:rsidRPr="003B229F">
        <w:t>Email failing to meet these standards may be returned unanswered. Email containing questions that can be answered by referring to this syllabus or to Avenue to Learn may not be answered. All email communication must come from your mcmaster.ca email account.</w:t>
      </w:r>
    </w:p>
    <w:p w14:paraId="51B794F6" w14:textId="3C786DA9" w:rsidR="00A05C89" w:rsidRDefault="00A05C89" w:rsidP="008E2CC8">
      <w:pPr>
        <w:pStyle w:val="Heading2"/>
      </w:pPr>
      <w:r>
        <w:t>Submission of Assignments</w:t>
      </w:r>
      <w:bookmarkEnd w:id="8"/>
    </w:p>
    <w:p w14:paraId="0ADA7A76" w14:textId="3497D1D7" w:rsidR="008E2CC8" w:rsidRDefault="005948BC" w:rsidP="008E2CC8">
      <w:r>
        <w:t>Assignments should be submitted via the appropriate Avenue to Learn assignment folder. Any technical difficulties should be reported to soc3U03@mcmaster.ca</w:t>
      </w:r>
    </w:p>
    <w:p w14:paraId="7B7F233B" w14:textId="77777777" w:rsidR="008E2CC8" w:rsidRDefault="00A05C89" w:rsidP="0096307B">
      <w:pPr>
        <w:pStyle w:val="Heading2"/>
        <w:spacing w:before="240"/>
      </w:pPr>
      <w:bookmarkStart w:id="9" w:name="_Toc14941537"/>
      <w:r>
        <w:lastRenderedPageBreak/>
        <w:t>Late Assignments</w:t>
      </w:r>
      <w:bookmarkEnd w:id="9"/>
    </w:p>
    <w:p w14:paraId="57778ACE" w14:textId="6D070EC3" w:rsidR="00A05C89" w:rsidRDefault="005948BC" w:rsidP="008E2CC8">
      <w:r w:rsidRPr="005948BC">
        <w:t xml:space="preserve">For late assignments, </w:t>
      </w:r>
      <w:r>
        <w:t xml:space="preserve">please submit the assignment in Avenue to Learn. </w:t>
      </w:r>
      <w:r w:rsidRPr="005948BC">
        <w:t>A</w:t>
      </w:r>
      <w:r>
        <w:t xml:space="preserve"> late a</w:t>
      </w:r>
      <w:r w:rsidRPr="005948BC">
        <w:t>ssignment will be marked down by five percentage points for each day it is late, including weekends and holidays</w:t>
      </w:r>
      <w:r w:rsidR="00A35DC6">
        <w:t>, up to a maximum of five days, after which it will no longer be accepted</w:t>
      </w:r>
      <w:r w:rsidRPr="005948BC">
        <w:t>.</w:t>
      </w:r>
      <w:r>
        <w:t xml:space="preserve"> If you want to talk to us about the cause of your delay, or if you find you are blocked from submitting, please do not hesitate to email your teaching assistant at </w:t>
      </w:r>
      <w:r w:rsidRPr="00DC189A">
        <w:t>soc3U03@mcmaster.ca</w:t>
      </w:r>
      <w:r>
        <w:t>.</w:t>
      </w:r>
    </w:p>
    <w:p w14:paraId="0A7D34FE" w14:textId="248D892B" w:rsidR="005948BC" w:rsidRDefault="005948BC" w:rsidP="008E2CC8">
      <w:pPr>
        <w:pStyle w:val="Heading2"/>
      </w:pPr>
      <w:bookmarkStart w:id="10" w:name="_Toc14941538"/>
      <w:r>
        <w:t>Review of Marks</w:t>
      </w:r>
    </w:p>
    <w:p w14:paraId="56E6C2DA" w14:textId="422B6FA7" w:rsidR="005948BC" w:rsidRPr="005948BC" w:rsidRDefault="005948BC" w:rsidP="005948BC">
      <w:r>
        <w:t>Your instructor and teaching assistant</w:t>
      </w:r>
      <w:r w:rsidRPr="005948BC">
        <w:t xml:space="preserve"> will be diligent in marking all assignments fairly and accurately. Nonetheless, occasionally students disagree with the marks they receive. When this occurs, </w:t>
      </w:r>
      <w:r>
        <w:t>we</w:t>
      </w:r>
      <w:r w:rsidRPr="005948BC">
        <w:t xml:space="preserve"> will be happy to review the mark of any assignment or exam, if the procedure outlined below is followed. </w:t>
      </w:r>
      <w:r w:rsidRPr="005948BC">
        <w:rPr>
          <w:b/>
          <w:i/>
        </w:rPr>
        <w:t>Please note that when a mark is reviewed, the new mark may be lower than the original.</w:t>
      </w:r>
      <w:r w:rsidRPr="005948BC">
        <w:t xml:space="preserve"> </w:t>
      </w:r>
    </w:p>
    <w:p w14:paraId="64D4066B" w14:textId="7E5C7A84" w:rsidR="005948BC" w:rsidRPr="005948BC" w:rsidRDefault="005948BC" w:rsidP="005948BC">
      <w:r w:rsidRPr="005948BC">
        <w:t xml:space="preserve">To request a review of a mark, </w:t>
      </w:r>
      <w:r>
        <w:t xml:space="preserve">first give </w:t>
      </w:r>
      <w:r w:rsidRPr="005948BC">
        <w:t xml:space="preserve">yourself a cooling-down period of 24 hours before submitting your request. </w:t>
      </w:r>
      <w:r>
        <w:t>W</w:t>
      </w:r>
      <w:r w:rsidRPr="005948BC">
        <w:t>rite a brief (&lt;1-page) memo describing in detail the nature of the perceived marking error. Submit this memo to me via email</w:t>
      </w:r>
      <w:r>
        <w:t xml:space="preserve"> as </w:t>
      </w:r>
      <w:r w:rsidRPr="00DC189A">
        <w:t>soc3U03@mcmaster.ca</w:t>
      </w:r>
      <w:r>
        <w:t xml:space="preserve">. </w:t>
      </w:r>
      <w:r w:rsidRPr="005948BC">
        <w:t xml:space="preserve">You may submit requests for review no later than two weeks after assignments/exams are </w:t>
      </w:r>
      <w:r>
        <w:t>graded</w:t>
      </w:r>
      <w:r w:rsidRPr="005948BC">
        <w:t>.</w:t>
      </w:r>
    </w:p>
    <w:p w14:paraId="2014DF9F" w14:textId="5188DC6D" w:rsidR="00A05C89" w:rsidRDefault="00A05C89" w:rsidP="008E2CC8">
      <w:pPr>
        <w:pStyle w:val="Heading2"/>
      </w:pPr>
      <w:r>
        <w:t>Absences, Missed Work, Illness</w:t>
      </w:r>
      <w:bookmarkEnd w:id="10"/>
    </w:p>
    <w:p w14:paraId="61E0447D" w14:textId="7E87ABDB" w:rsidR="005F4D1E" w:rsidRDefault="005F4D1E" w:rsidP="008E2CC8">
      <w:r w:rsidRPr="005F4D1E">
        <w:t xml:space="preserve">In the event of </w:t>
      </w:r>
      <w:r w:rsidR="005948BC">
        <w:t>missed work</w:t>
      </w:r>
      <w:r w:rsidRPr="005F4D1E">
        <w:t xml:space="preserv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1" w:name="_Toc14941539"/>
      <w:r>
        <w:t>Avenue to Learn</w:t>
      </w:r>
      <w:bookmarkEnd w:id="11"/>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AFD7F4D" w:rsidR="009F7FC2" w:rsidRPr="00DD7FB8" w:rsidRDefault="00720F69" w:rsidP="008E2CC8">
      <w:pPr>
        <w:pStyle w:val="Heading2"/>
        <w:rPr>
          <w:b w:val="0"/>
          <w:bCs/>
        </w:rPr>
      </w:pPr>
      <w:bookmarkStart w:id="12" w:name="_Toc14941540"/>
      <w:r>
        <w:t>Turnitin.com</w:t>
      </w:r>
      <w:bookmarkEnd w:id="12"/>
      <w:r w:rsidR="00DD7FB8">
        <w:t xml:space="preserve"> </w:t>
      </w:r>
    </w:p>
    <w:p w14:paraId="72C65D34" w14:textId="5690E04E" w:rsidR="005F4D1E" w:rsidRDefault="005F4D1E" w:rsidP="005F4D1E">
      <w:r>
        <w:t>I</w:t>
      </w:r>
      <w:r w:rsidRPr="005F4D1E">
        <w:t>n this course we will be using a web-based service (Turnitin.com) to reveal authenticity and ownership of student submitted work</w:t>
      </w:r>
      <w:r w:rsidR="005948BC">
        <w:t xml:space="preserve">. </w:t>
      </w:r>
      <w:r w:rsidRPr="005F4D1E">
        <w:t>Students will be expected to submit their work electronically either directly to Turnitin.com or via Avenue to Learn (A2L) plagiarism detection (a service supported by Turnitin.com) so it can be checked for academic dishonesty</w:t>
      </w:r>
      <w:r w:rsidR="005948BC">
        <w:t xml:space="preserve">. </w:t>
      </w:r>
      <w:r w:rsidRPr="005F4D1E">
        <w:t xml:space="preserve">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w:t>
      </w:r>
      <w:r w:rsidRPr="005F4D1E">
        <w:lastRenderedPageBreak/>
        <w:t xml:space="preserve">have been upheld (e.g., on-line </w:t>
      </w:r>
      <w:r>
        <w:t xml:space="preserve">search, other software, etc.). For more </w:t>
      </w:r>
      <w:proofErr w:type="gramStart"/>
      <w:r>
        <w:t>information</w:t>
      </w:r>
      <w:proofErr w:type="gramEnd"/>
      <w:r>
        <w:t xml:space="preserve"> please refer t</w:t>
      </w:r>
      <w:r w:rsidRPr="005F4D1E">
        <w:t xml:space="preserve">o the </w:t>
      </w:r>
      <w:hyperlink r:id="rId14" w:history="1">
        <w:r w:rsidRPr="005F4D1E">
          <w:rPr>
            <w:rStyle w:val="Hyperlink"/>
          </w:rPr>
          <w:t>Turnitin.com Policy</w:t>
        </w:r>
      </w:hyperlink>
      <w:r w:rsidRPr="005F4D1E">
        <w:t>.</w:t>
      </w:r>
    </w:p>
    <w:p w14:paraId="6BA141C3" w14:textId="77777777" w:rsidR="00A05C89" w:rsidRDefault="00A05C89" w:rsidP="009F7FC2">
      <w:pPr>
        <w:pStyle w:val="Heading1"/>
      </w:pPr>
      <w:bookmarkStart w:id="13" w:name="_Toc14941542"/>
      <w:r>
        <w:t>University Policies</w:t>
      </w:r>
      <w:bookmarkEnd w:id="13"/>
    </w:p>
    <w:p w14:paraId="2464D226" w14:textId="77777777" w:rsidR="00A05C89" w:rsidRDefault="00A05C89" w:rsidP="008E2CC8">
      <w:pPr>
        <w:pStyle w:val="Heading2"/>
      </w:pPr>
      <w:bookmarkStart w:id="14" w:name="_Toc14941543"/>
      <w:r>
        <w:t>Academic Integrity Statement</w:t>
      </w:r>
      <w:bookmarkEnd w:id="14"/>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23BC3BFB"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credit or advantage</w:t>
      </w:r>
      <w:r w:rsidR="005948BC">
        <w:t xml:space="preserve">. </w:t>
      </w:r>
      <w:r w:rsidRPr="005F4D1E">
        <w:t xml:space="preserve">This behaviour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5"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5" w:name="_Toc14941544"/>
      <w:r>
        <w:t>Academic Accommodation of Students with Disabilities</w:t>
      </w:r>
      <w:bookmarkEnd w:id="15"/>
    </w:p>
    <w:p w14:paraId="4FE1BD1F" w14:textId="2B59C9D3" w:rsidR="005F4D1E" w:rsidRDefault="00663640" w:rsidP="005F4D1E">
      <w:r>
        <w:t xml:space="preserve">Students with disabilities who require academic accommodation must contact </w:t>
      </w:r>
      <w:hyperlink r:id="rId16" w:history="1">
        <w:r w:rsidRPr="00663640">
          <w:rPr>
            <w:rStyle w:val="Hyperlink"/>
          </w:rPr>
          <w:t>Student Accessibility Services</w:t>
        </w:r>
      </w:hyperlink>
      <w:r>
        <w:rPr>
          <w:color w:val="0000FF"/>
        </w:rPr>
        <w:t xml:space="preserve"> </w:t>
      </w:r>
      <w:r>
        <w:t xml:space="preserve">(SAS) at 905-525-9140 ext. 28652 or </w:t>
      </w:r>
      <w:hyperlink r:id="rId17" w:history="1">
        <w:r w:rsidRPr="00F12433">
          <w:rPr>
            <w:rStyle w:val="Hyperlink"/>
          </w:rPr>
          <w:t xml:space="preserve">sas@mcmaster.ca </w:t>
        </w:r>
      </w:hyperlink>
      <w:r>
        <w:t xml:space="preserve">to make arrangements with a Program Coordinator. For further information, consult McMaster University’s </w:t>
      </w:r>
      <w:hyperlink r:id="rId18"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6" w:name="_Toc14941541"/>
      <w:r>
        <w:rPr>
          <w:rFonts w:eastAsiaTheme="minorHAnsi"/>
        </w:rPr>
        <w:t>Academic Accommodation for Religious, Indigenous or Spiritual Observances (RISO)</w:t>
      </w:r>
      <w:bookmarkEnd w:id="16"/>
    </w:p>
    <w:p w14:paraId="614D5059" w14:textId="1386ACE0"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w:t>
      </w:r>
      <w:r w:rsidR="005948BC">
        <w:t xml:space="preserve">. </w:t>
      </w:r>
      <w:r w:rsidRPr="005F4D1E">
        <w:t xml:space="preserve">Students requiring a </w:t>
      </w:r>
      <w:hyperlink r:id="rId19"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w:t>
      </w:r>
      <w:r w:rsidR="005948BC">
        <w:t xml:space="preserve">. </w:t>
      </w:r>
      <w:r w:rsidRPr="005F4D1E">
        <w:t>Students should also contact their instructors as soon as possible to make alternative arrangements for classes, assignments, and tests</w:t>
      </w:r>
      <w:r>
        <w:t>.</w:t>
      </w:r>
    </w:p>
    <w:p w14:paraId="59CAEF59" w14:textId="176498FF" w:rsidR="00663640" w:rsidRDefault="00663640" w:rsidP="00663640">
      <w:pPr>
        <w:pStyle w:val="Heading2"/>
      </w:pPr>
      <w:r>
        <w:lastRenderedPageBreak/>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20"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7" w:name="_Toc14941545"/>
      <w:r>
        <w:t>Faculty of Social Sciences E-mail Communication Policy</w:t>
      </w:r>
      <w:bookmarkEnd w:id="17"/>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8" w:name="_Toc14941546"/>
      <w:r>
        <w:t>Course Modification</w:t>
      </w:r>
      <w:bookmarkEnd w:id="18"/>
    </w:p>
    <w:p w14:paraId="0B035104" w14:textId="7F7A7EC6" w:rsidR="00A05C89" w:rsidRDefault="00D44602" w:rsidP="00642D4D">
      <w:pPr>
        <w:spacing w:line="240" w:lineRule="auto"/>
      </w:pPr>
      <w:r w:rsidRPr="00D44602">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w:t>
      </w:r>
      <w:r w:rsidRPr="00D44602">
        <w:lastRenderedPageBreak/>
        <w:t>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9" w:name="_Toc14941536"/>
      <w:r>
        <w:t>Grades</w:t>
      </w:r>
      <w:bookmarkEnd w:id="19"/>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2B72" w14:textId="77777777" w:rsidR="00C206F0" w:rsidRDefault="00C206F0" w:rsidP="002148F6">
      <w:pPr>
        <w:spacing w:after="0" w:line="240" w:lineRule="auto"/>
      </w:pPr>
      <w:r>
        <w:separator/>
      </w:r>
    </w:p>
  </w:endnote>
  <w:endnote w:type="continuationSeparator" w:id="0">
    <w:p w14:paraId="5460424F" w14:textId="77777777" w:rsidR="00C206F0" w:rsidRDefault="00C206F0"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088A" w14:textId="77777777" w:rsidR="00C206F0" w:rsidRDefault="00C206F0" w:rsidP="002148F6">
      <w:pPr>
        <w:spacing w:after="0" w:line="240" w:lineRule="auto"/>
      </w:pPr>
      <w:r>
        <w:separator/>
      </w:r>
    </w:p>
  </w:footnote>
  <w:footnote w:type="continuationSeparator" w:id="0">
    <w:p w14:paraId="6F15E737" w14:textId="77777777" w:rsidR="00C206F0" w:rsidRDefault="00C206F0"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43A8C758"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B50112">
      <w:rPr>
        <w:sz w:val="20"/>
        <w:szCs w:val="20"/>
      </w:rPr>
      <w:t>3U03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92AB4"/>
    <w:multiLevelType w:val="hybridMultilevel"/>
    <w:tmpl w:val="FB302BA8"/>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509136">
    <w:abstractNumId w:val="0"/>
  </w:num>
  <w:num w:numId="2" w16cid:durableId="1959607261">
    <w:abstractNumId w:val="4"/>
  </w:num>
  <w:num w:numId="3" w16cid:durableId="1522084347">
    <w:abstractNumId w:val="6"/>
  </w:num>
  <w:num w:numId="4" w16cid:durableId="2001809829">
    <w:abstractNumId w:val="2"/>
  </w:num>
  <w:num w:numId="5" w16cid:durableId="1429422454">
    <w:abstractNumId w:val="8"/>
  </w:num>
  <w:num w:numId="6" w16cid:durableId="1896813387">
    <w:abstractNumId w:val="7"/>
  </w:num>
  <w:num w:numId="7" w16cid:durableId="704597242">
    <w:abstractNumId w:val="5"/>
  </w:num>
  <w:num w:numId="8" w16cid:durableId="660622979">
    <w:abstractNumId w:val="3"/>
  </w:num>
  <w:num w:numId="9" w16cid:durableId="877206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0F2E"/>
    <w:rsid w:val="000051B2"/>
    <w:rsid w:val="00016EC9"/>
    <w:rsid w:val="000213DC"/>
    <w:rsid w:val="00041D1E"/>
    <w:rsid w:val="000766EE"/>
    <w:rsid w:val="000950EB"/>
    <w:rsid w:val="000F054C"/>
    <w:rsid w:val="000F0979"/>
    <w:rsid w:val="00115EF9"/>
    <w:rsid w:val="001160DC"/>
    <w:rsid w:val="00132447"/>
    <w:rsid w:val="00137ABB"/>
    <w:rsid w:val="00146884"/>
    <w:rsid w:val="00194C83"/>
    <w:rsid w:val="001C12B0"/>
    <w:rsid w:val="001D7B03"/>
    <w:rsid w:val="001E4783"/>
    <w:rsid w:val="001E657C"/>
    <w:rsid w:val="00202E10"/>
    <w:rsid w:val="002148F6"/>
    <w:rsid w:val="002506E3"/>
    <w:rsid w:val="0026565E"/>
    <w:rsid w:val="002848E5"/>
    <w:rsid w:val="002903D0"/>
    <w:rsid w:val="002A28C5"/>
    <w:rsid w:val="002B1B46"/>
    <w:rsid w:val="002B299A"/>
    <w:rsid w:val="002B54F9"/>
    <w:rsid w:val="002B5CD9"/>
    <w:rsid w:val="002B5F7F"/>
    <w:rsid w:val="003001FF"/>
    <w:rsid w:val="0030631B"/>
    <w:rsid w:val="00360155"/>
    <w:rsid w:val="0036363C"/>
    <w:rsid w:val="0036595F"/>
    <w:rsid w:val="003733D0"/>
    <w:rsid w:val="0037437B"/>
    <w:rsid w:val="003B229F"/>
    <w:rsid w:val="003C04E4"/>
    <w:rsid w:val="003C0E19"/>
    <w:rsid w:val="003D75ED"/>
    <w:rsid w:val="003E69EF"/>
    <w:rsid w:val="003F6FAB"/>
    <w:rsid w:val="004323C8"/>
    <w:rsid w:val="00443D27"/>
    <w:rsid w:val="004571C7"/>
    <w:rsid w:val="00467794"/>
    <w:rsid w:val="004B6FA7"/>
    <w:rsid w:val="004E008F"/>
    <w:rsid w:val="004F0A1E"/>
    <w:rsid w:val="00501819"/>
    <w:rsid w:val="00566FA6"/>
    <w:rsid w:val="00576517"/>
    <w:rsid w:val="00590B47"/>
    <w:rsid w:val="005948BC"/>
    <w:rsid w:val="005A005D"/>
    <w:rsid w:val="005B6A65"/>
    <w:rsid w:val="005F4D1E"/>
    <w:rsid w:val="00642D4D"/>
    <w:rsid w:val="00663640"/>
    <w:rsid w:val="0067208D"/>
    <w:rsid w:val="00720F69"/>
    <w:rsid w:val="00721161"/>
    <w:rsid w:val="007320D1"/>
    <w:rsid w:val="007432E5"/>
    <w:rsid w:val="00746E88"/>
    <w:rsid w:val="00747C9B"/>
    <w:rsid w:val="00764E35"/>
    <w:rsid w:val="007670A3"/>
    <w:rsid w:val="007962C5"/>
    <w:rsid w:val="007A78EB"/>
    <w:rsid w:val="007D4E0B"/>
    <w:rsid w:val="007E7AF4"/>
    <w:rsid w:val="00811DB5"/>
    <w:rsid w:val="0083445C"/>
    <w:rsid w:val="008401BE"/>
    <w:rsid w:val="00851EE1"/>
    <w:rsid w:val="00855B92"/>
    <w:rsid w:val="00882211"/>
    <w:rsid w:val="00892602"/>
    <w:rsid w:val="008C6F74"/>
    <w:rsid w:val="008E2CC8"/>
    <w:rsid w:val="009031C0"/>
    <w:rsid w:val="00921D4E"/>
    <w:rsid w:val="00942ACA"/>
    <w:rsid w:val="00952946"/>
    <w:rsid w:val="0096307B"/>
    <w:rsid w:val="00973654"/>
    <w:rsid w:val="009775E3"/>
    <w:rsid w:val="00983B20"/>
    <w:rsid w:val="00990384"/>
    <w:rsid w:val="009A4858"/>
    <w:rsid w:val="009A72DA"/>
    <w:rsid w:val="009B7F53"/>
    <w:rsid w:val="009F6E31"/>
    <w:rsid w:val="009F7FC2"/>
    <w:rsid w:val="00A03C8F"/>
    <w:rsid w:val="00A05C89"/>
    <w:rsid w:val="00A10708"/>
    <w:rsid w:val="00A35DC6"/>
    <w:rsid w:val="00A45BB2"/>
    <w:rsid w:val="00A9006D"/>
    <w:rsid w:val="00B04399"/>
    <w:rsid w:val="00B04407"/>
    <w:rsid w:val="00B05FE8"/>
    <w:rsid w:val="00B13FE8"/>
    <w:rsid w:val="00B14782"/>
    <w:rsid w:val="00B4254F"/>
    <w:rsid w:val="00B461C8"/>
    <w:rsid w:val="00B50112"/>
    <w:rsid w:val="00B5115D"/>
    <w:rsid w:val="00B74D6C"/>
    <w:rsid w:val="00B77BA1"/>
    <w:rsid w:val="00BA37BA"/>
    <w:rsid w:val="00BB26FD"/>
    <w:rsid w:val="00BC6D5E"/>
    <w:rsid w:val="00BF3D2E"/>
    <w:rsid w:val="00C206F0"/>
    <w:rsid w:val="00C66C3D"/>
    <w:rsid w:val="00C7154E"/>
    <w:rsid w:val="00C858A2"/>
    <w:rsid w:val="00C9168E"/>
    <w:rsid w:val="00C97C8C"/>
    <w:rsid w:val="00CA25AF"/>
    <w:rsid w:val="00CC1A2B"/>
    <w:rsid w:val="00CD29D9"/>
    <w:rsid w:val="00CE45E0"/>
    <w:rsid w:val="00D144C9"/>
    <w:rsid w:val="00D43519"/>
    <w:rsid w:val="00D44602"/>
    <w:rsid w:val="00D62A6E"/>
    <w:rsid w:val="00D62D79"/>
    <w:rsid w:val="00D73357"/>
    <w:rsid w:val="00D735B6"/>
    <w:rsid w:val="00D83623"/>
    <w:rsid w:val="00D87B79"/>
    <w:rsid w:val="00DB0B12"/>
    <w:rsid w:val="00DC189A"/>
    <w:rsid w:val="00DC3FB8"/>
    <w:rsid w:val="00DD55CC"/>
    <w:rsid w:val="00DD60DC"/>
    <w:rsid w:val="00DD7FB8"/>
    <w:rsid w:val="00DF6749"/>
    <w:rsid w:val="00E33648"/>
    <w:rsid w:val="00E4043D"/>
    <w:rsid w:val="00E47027"/>
    <w:rsid w:val="00E66727"/>
    <w:rsid w:val="00E87DC9"/>
    <w:rsid w:val="00E91288"/>
    <w:rsid w:val="00E95A85"/>
    <w:rsid w:val="00EA70E4"/>
    <w:rsid w:val="00EB5B03"/>
    <w:rsid w:val="00EE2DD2"/>
    <w:rsid w:val="00EF57AF"/>
    <w:rsid w:val="00EF6C35"/>
    <w:rsid w:val="00F17D22"/>
    <w:rsid w:val="00F37FDC"/>
    <w:rsid w:val="00F4669B"/>
    <w:rsid w:val="00F471EF"/>
    <w:rsid w:val="00F651C2"/>
    <w:rsid w:val="00F71CF2"/>
    <w:rsid w:val="00F8051E"/>
    <w:rsid w:val="00F834D7"/>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styleId="FollowedHyperlink">
    <w:name w:val="FollowedHyperlink"/>
    <w:basedOn w:val="DefaultParagraphFont"/>
    <w:uiPriority w:val="99"/>
    <w:semiHidden/>
    <w:unhideWhenUsed/>
    <w:rsid w:val="00EF57AF"/>
    <w:rPr>
      <w:color w:val="954F72" w:themeColor="followedHyperlink"/>
      <w:u w:val="single"/>
    </w:rPr>
  </w:style>
  <w:style w:type="character" w:styleId="PageNumber">
    <w:name w:val="page number"/>
    <w:basedOn w:val="DefaultParagraphFont"/>
    <w:rsid w:val="00CE4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50814">
      <w:bodyDiv w:val="1"/>
      <w:marLeft w:val="0"/>
      <w:marRight w:val="0"/>
      <w:marTop w:val="0"/>
      <w:marBottom w:val="0"/>
      <w:divBdr>
        <w:top w:val="none" w:sz="0" w:space="0" w:color="auto"/>
        <w:left w:val="none" w:sz="0" w:space="0" w:color="auto"/>
        <w:bottom w:val="none" w:sz="0" w:space="0" w:color="auto"/>
        <w:right w:val="none" w:sz="0" w:space="0" w:color="auto"/>
      </w:divBdr>
    </w:div>
    <w:div w:id="1401438026">
      <w:bodyDiv w:val="1"/>
      <w:marLeft w:val="0"/>
      <w:marRight w:val="0"/>
      <w:marTop w:val="0"/>
      <w:marBottom w:val="0"/>
      <w:divBdr>
        <w:top w:val="none" w:sz="0" w:space="0" w:color="auto"/>
        <w:left w:val="none" w:sz="0" w:space="0" w:color="auto"/>
        <w:bottom w:val="none" w:sz="0" w:space="0" w:color="auto"/>
        <w:right w:val="none" w:sz="0" w:space="0" w:color="auto"/>
      </w:divBdr>
    </w:div>
    <w:div w:id="1656378259">
      <w:bodyDiv w:val="1"/>
      <w:marLeft w:val="0"/>
      <w:marRight w:val="0"/>
      <w:marTop w:val="0"/>
      <w:marBottom w:val="0"/>
      <w:divBdr>
        <w:top w:val="none" w:sz="0" w:space="0" w:color="auto"/>
        <w:left w:val="none" w:sz="0" w:space="0" w:color="auto"/>
        <w:bottom w:val="none" w:sz="0" w:space="0" w:color="auto"/>
        <w:right w:val="none" w:sz="0" w:space="0" w:color="auto"/>
      </w:divBdr>
    </w:div>
    <w:div w:id="1782989106">
      <w:bodyDiv w:val="1"/>
      <w:marLeft w:val="0"/>
      <w:marRight w:val="0"/>
      <w:marTop w:val="0"/>
      <w:marBottom w:val="0"/>
      <w:divBdr>
        <w:top w:val="none" w:sz="0" w:space="0" w:color="auto"/>
        <w:left w:val="none" w:sz="0" w:space="0" w:color="auto"/>
        <w:bottom w:val="none" w:sz="0" w:space="0" w:color="auto"/>
        <w:right w:val="none" w:sz="0" w:space="0" w:color="auto"/>
      </w:divBdr>
      <w:divsChild>
        <w:div w:id="845900532">
          <w:marLeft w:val="0"/>
          <w:marRight w:val="0"/>
          <w:marTop w:val="0"/>
          <w:marBottom w:val="0"/>
          <w:divBdr>
            <w:top w:val="none" w:sz="0" w:space="0" w:color="auto"/>
            <w:left w:val="none" w:sz="0" w:space="0" w:color="auto"/>
            <w:bottom w:val="none" w:sz="0" w:space="0" w:color="auto"/>
            <w:right w:val="none" w:sz="0" w:space="0" w:color="auto"/>
          </w:divBdr>
        </w:div>
        <w:div w:id="754665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oc3U03@mcmaster.ca" TargetMode="External"/><Relationship Id="rId18" Type="http://schemas.openxmlformats.org/officeDocument/2006/relationships/hyperlink" Target="http://www.mcmaster.ca/policy/Students-AcademicStudies/AcademicAccommodation-StudentsWithDisabiliti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sagepub.com/en-us/nam/sociology-of-sexualities/book267539" TargetMode="External"/><Relationship Id="rId17" Type="http://schemas.openxmlformats.org/officeDocument/2006/relationships/hyperlink" Target="mailto:sas@mcmaster.ca%20"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sas.mcmaster.ca/" TargetMode="External"/><Relationship Id="rId20"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3U03@mcmaster.ca"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23" Type="http://schemas.openxmlformats.org/officeDocument/2006/relationships/customXml" Target="../customXml/item2.xml"/><Relationship Id="rId10" Type="http://schemas.openxmlformats.org/officeDocument/2006/relationships/hyperlink" Target="mailto:tina.fetner@mcmaster.ca" TargetMode="External"/><Relationship Id="rId19" Type="http://schemas.openxmlformats.org/officeDocument/2006/relationships/hyperlink" Target="https://secretariat.mcmaster.ca/app/uploads/2019/02/Academic-Accommodation-for-Religious-Indigenous-and-Spiritual-Observances-Policy-on.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customXml/itemProps2.xml><?xml version="1.0" encoding="utf-8"?>
<ds:datastoreItem xmlns:ds="http://schemas.openxmlformats.org/officeDocument/2006/customXml" ds:itemID="{1B38C48E-94B1-4FF3-A643-A82936825BC6}"/>
</file>

<file path=customXml/itemProps3.xml><?xml version="1.0" encoding="utf-8"?>
<ds:datastoreItem xmlns:ds="http://schemas.openxmlformats.org/officeDocument/2006/customXml" ds:itemID="{1027DF12-F727-4771-83E4-788555837A83}"/>
</file>

<file path=customXml/itemProps4.xml><?xml version="1.0" encoding="utf-8"?>
<ds:datastoreItem xmlns:ds="http://schemas.openxmlformats.org/officeDocument/2006/customXml" ds:itemID="{6A72228C-C8DB-49A0-933C-CAC4946B69B1}"/>
</file>

<file path=docProps/app.xml><?xml version="1.0" encoding="utf-8"?>
<Properties xmlns="http://schemas.openxmlformats.org/officeDocument/2006/extended-properties" xmlns:vt="http://schemas.openxmlformats.org/officeDocument/2006/docPropsVTypes">
  <Template>Normal</Template>
  <TotalTime>5</TotalTime>
  <Pages>8</Pages>
  <Words>2612</Words>
  <Characters>14895</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cp:lastPrinted>2022-11-30T21:00:00Z</cp:lastPrinted>
  <dcterms:created xsi:type="dcterms:W3CDTF">2022-12-06T20:16:00Z</dcterms:created>
  <dcterms:modified xsi:type="dcterms:W3CDTF">2022-12-06T20:16:00Z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0x010100AF88B29E7D502A4E9B70275F50FDABFC</vt:lpwstr>
  </property>
</Properties>
</file>